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138E7" w:rsidRPr="007B1A1E" w:rsidRDefault="00F138E7">
      <w:pPr>
        <w:spacing w:after="0" w:line="276" w:lineRule="auto"/>
        <w:jc w:val="both"/>
        <w:rPr>
          <w:rFonts w:ascii="Palatino Linotype" w:eastAsia="Palatino Linotype" w:hAnsi="Palatino Linotype" w:cs="Palatino Linotype"/>
          <w:b/>
          <w:lang w:val="en-US"/>
        </w:rPr>
      </w:pPr>
      <w:bookmarkStart w:id="0" w:name="_heading=h.tyjcwt" w:colFirst="0" w:colLast="0"/>
      <w:bookmarkEnd w:id="0"/>
    </w:p>
    <w:p w14:paraId="00000002" w14:textId="77777777" w:rsidR="00F138E7" w:rsidRDefault="00F138E7">
      <w:pPr>
        <w:spacing w:after="0" w:line="276" w:lineRule="auto"/>
        <w:jc w:val="both"/>
        <w:rPr>
          <w:rFonts w:ascii="Palatino Linotype" w:eastAsia="Palatino Linotype" w:hAnsi="Palatino Linotype" w:cs="Palatino Linotype"/>
          <w:b/>
        </w:rPr>
      </w:pPr>
    </w:p>
    <w:p w14:paraId="00000003" w14:textId="77777777" w:rsidR="00F138E7" w:rsidRDefault="00F138E7">
      <w:pPr>
        <w:spacing w:after="0" w:line="276" w:lineRule="auto"/>
        <w:jc w:val="both"/>
        <w:rPr>
          <w:rFonts w:ascii="Palatino Linotype" w:eastAsia="Palatino Linotype" w:hAnsi="Palatino Linotype" w:cs="Palatino Linotype"/>
          <w:b/>
        </w:rPr>
      </w:pPr>
    </w:p>
    <w:p w14:paraId="00000004" w14:textId="77777777" w:rsidR="00F138E7" w:rsidRDefault="00F138E7">
      <w:pPr>
        <w:spacing w:after="0" w:line="276" w:lineRule="auto"/>
        <w:jc w:val="both"/>
        <w:rPr>
          <w:rFonts w:ascii="Palatino Linotype" w:eastAsia="Palatino Linotype" w:hAnsi="Palatino Linotype" w:cs="Palatino Linotype"/>
          <w:b/>
        </w:rPr>
      </w:pPr>
    </w:p>
    <w:p w14:paraId="00000005" w14:textId="77777777" w:rsidR="00F138E7" w:rsidRDefault="00F138E7">
      <w:pPr>
        <w:spacing w:after="0" w:line="276" w:lineRule="auto"/>
        <w:jc w:val="both"/>
        <w:rPr>
          <w:rFonts w:ascii="Palatino Linotype" w:eastAsia="Palatino Linotype" w:hAnsi="Palatino Linotype" w:cs="Palatino Linotype"/>
          <w:b/>
        </w:rPr>
      </w:pPr>
    </w:p>
    <w:p w14:paraId="00000006" w14:textId="77777777" w:rsidR="00F138E7" w:rsidRDefault="00F138E7">
      <w:pPr>
        <w:spacing w:after="0" w:line="276" w:lineRule="auto"/>
        <w:jc w:val="both"/>
        <w:rPr>
          <w:rFonts w:ascii="Palatino Linotype" w:eastAsia="Palatino Linotype" w:hAnsi="Palatino Linotype" w:cs="Palatino Linotype"/>
          <w:b/>
        </w:rPr>
      </w:pPr>
    </w:p>
    <w:p w14:paraId="00000007" w14:textId="77777777" w:rsidR="00F138E7" w:rsidRDefault="00F138E7">
      <w:pPr>
        <w:spacing w:after="0" w:line="276" w:lineRule="auto"/>
        <w:jc w:val="both"/>
        <w:rPr>
          <w:rFonts w:ascii="Palatino Linotype" w:eastAsia="Palatino Linotype" w:hAnsi="Palatino Linotype" w:cs="Palatino Linotype"/>
          <w:b/>
        </w:rPr>
      </w:pPr>
    </w:p>
    <w:p w14:paraId="00000008" w14:textId="77777777" w:rsidR="00F138E7" w:rsidRDefault="00F138E7">
      <w:pPr>
        <w:spacing w:after="0" w:line="276" w:lineRule="auto"/>
        <w:jc w:val="both"/>
        <w:rPr>
          <w:rFonts w:ascii="Palatino Linotype" w:eastAsia="Palatino Linotype" w:hAnsi="Palatino Linotype" w:cs="Palatino Linotype"/>
          <w:b/>
        </w:rPr>
      </w:pPr>
    </w:p>
    <w:p w14:paraId="00000009" w14:textId="77777777" w:rsidR="00F138E7" w:rsidRDefault="00F138E7">
      <w:pPr>
        <w:spacing w:after="0" w:line="276" w:lineRule="auto"/>
        <w:jc w:val="both"/>
        <w:rPr>
          <w:rFonts w:ascii="Palatino Linotype" w:eastAsia="Palatino Linotype" w:hAnsi="Palatino Linotype" w:cs="Palatino Linotype"/>
          <w:b/>
        </w:rPr>
      </w:pPr>
    </w:p>
    <w:p w14:paraId="0000000A" w14:textId="77777777" w:rsidR="00F138E7" w:rsidRDefault="00F138E7">
      <w:pPr>
        <w:spacing w:after="0" w:line="276" w:lineRule="auto"/>
        <w:jc w:val="both"/>
        <w:rPr>
          <w:rFonts w:ascii="Palatino Linotype" w:eastAsia="Palatino Linotype" w:hAnsi="Palatino Linotype" w:cs="Palatino Linotype"/>
          <w:b/>
        </w:rPr>
      </w:pPr>
    </w:p>
    <w:p w14:paraId="0000000B" w14:textId="77777777" w:rsidR="00F138E7" w:rsidRDefault="00F138E7">
      <w:pPr>
        <w:spacing w:after="0" w:line="276" w:lineRule="auto"/>
        <w:jc w:val="both"/>
        <w:rPr>
          <w:rFonts w:ascii="Palatino Linotype" w:eastAsia="Palatino Linotype" w:hAnsi="Palatino Linotype" w:cs="Palatino Linotype"/>
          <w:b/>
        </w:rPr>
      </w:pPr>
    </w:p>
    <w:p w14:paraId="0000000C" w14:textId="77777777" w:rsidR="00F138E7" w:rsidRDefault="00F138E7">
      <w:pPr>
        <w:spacing w:after="0" w:line="276" w:lineRule="auto"/>
        <w:jc w:val="both"/>
        <w:rPr>
          <w:rFonts w:ascii="Palatino Linotype" w:eastAsia="Palatino Linotype" w:hAnsi="Palatino Linotype" w:cs="Palatino Linotype"/>
          <w:b/>
        </w:rPr>
      </w:pPr>
    </w:p>
    <w:p w14:paraId="0000000D" w14:textId="77777777" w:rsidR="00F138E7" w:rsidRDefault="004E53C2">
      <w:pPr>
        <w:spacing w:after="0" w:line="360" w:lineRule="auto"/>
        <w:jc w:val="center"/>
        <w:rPr>
          <w:rFonts w:ascii="Palatino Linotype" w:eastAsia="Palatino Linotype" w:hAnsi="Palatino Linotype" w:cs="Palatino Linotype"/>
          <w:b/>
          <w:sz w:val="28"/>
          <w:szCs w:val="28"/>
        </w:rPr>
      </w:pPr>
      <w:r>
        <w:rPr>
          <w:rFonts w:ascii="Palatino Linotype" w:eastAsia="Palatino Linotype" w:hAnsi="Palatino Linotype" w:cs="Palatino Linotype"/>
          <w:b/>
          <w:sz w:val="28"/>
          <w:szCs w:val="28"/>
        </w:rPr>
        <w:t>АНАЛИЗ И ОЦЕНКА</w:t>
      </w:r>
    </w:p>
    <w:p w14:paraId="0000000E" w14:textId="77777777" w:rsidR="00F138E7" w:rsidRDefault="004E53C2">
      <w:pPr>
        <w:spacing w:after="0" w:line="360" w:lineRule="auto"/>
        <w:jc w:val="center"/>
        <w:rPr>
          <w:rFonts w:ascii="Palatino Linotype" w:eastAsia="Palatino Linotype" w:hAnsi="Palatino Linotype" w:cs="Palatino Linotype"/>
        </w:rPr>
      </w:pPr>
      <w:r>
        <w:rPr>
          <w:rFonts w:ascii="Palatino Linotype" w:eastAsia="Palatino Linotype" w:hAnsi="Palatino Linotype" w:cs="Palatino Linotype"/>
        </w:rPr>
        <w:t>НА ВЪВЕДЕНИТЕ СХЕМИ ЗА УПРАВЛЕНИЕ НА ОТПАДЪЦИТЕ НА ПРИНЦИПА НА „ОТГОВОРНОСТ НА ПРОИЗВОДИТЕЛЯ” И „ЗАМЪРСИТЕЛЯ ПЛАЩА“</w:t>
      </w:r>
    </w:p>
    <w:p w14:paraId="0000000F" w14:textId="77777777" w:rsidR="00F138E7" w:rsidRDefault="00F138E7">
      <w:pPr>
        <w:spacing w:after="0" w:line="276" w:lineRule="auto"/>
        <w:jc w:val="both"/>
        <w:rPr>
          <w:rFonts w:ascii="Palatino Linotype" w:eastAsia="Palatino Linotype" w:hAnsi="Palatino Linotype" w:cs="Palatino Linotype"/>
        </w:rPr>
      </w:pPr>
    </w:p>
    <w:p w14:paraId="00000010" w14:textId="77777777" w:rsidR="00F138E7" w:rsidRDefault="00F138E7">
      <w:pPr>
        <w:spacing w:after="0" w:line="276" w:lineRule="auto"/>
        <w:jc w:val="both"/>
        <w:rPr>
          <w:rFonts w:ascii="Palatino Linotype" w:eastAsia="Palatino Linotype" w:hAnsi="Palatino Linotype" w:cs="Palatino Linotype"/>
        </w:rPr>
      </w:pPr>
    </w:p>
    <w:p w14:paraId="00000011" w14:textId="77777777" w:rsidR="00F138E7" w:rsidRDefault="00F138E7">
      <w:pPr>
        <w:spacing w:after="0" w:line="276" w:lineRule="auto"/>
        <w:jc w:val="both"/>
        <w:rPr>
          <w:rFonts w:ascii="Palatino Linotype" w:eastAsia="Palatino Linotype" w:hAnsi="Palatino Linotype" w:cs="Palatino Linotype"/>
          <w:b/>
        </w:rPr>
      </w:pPr>
    </w:p>
    <w:p w14:paraId="00000012" w14:textId="77777777" w:rsidR="00F138E7" w:rsidRDefault="00F138E7">
      <w:pPr>
        <w:spacing w:after="0" w:line="276" w:lineRule="auto"/>
        <w:jc w:val="both"/>
        <w:rPr>
          <w:rFonts w:ascii="Palatino Linotype" w:eastAsia="Palatino Linotype" w:hAnsi="Palatino Linotype" w:cs="Palatino Linotype"/>
          <w:b/>
        </w:rPr>
      </w:pPr>
    </w:p>
    <w:p w14:paraId="00000013" w14:textId="77777777" w:rsidR="00F138E7" w:rsidRDefault="00F138E7">
      <w:pPr>
        <w:spacing w:after="0" w:line="276" w:lineRule="auto"/>
        <w:jc w:val="both"/>
        <w:rPr>
          <w:rFonts w:ascii="Palatino Linotype" w:eastAsia="Palatino Linotype" w:hAnsi="Palatino Linotype" w:cs="Palatino Linotype"/>
          <w:b/>
        </w:rPr>
      </w:pPr>
    </w:p>
    <w:p w14:paraId="00000014" w14:textId="77777777" w:rsidR="00F138E7" w:rsidRDefault="00F138E7">
      <w:pPr>
        <w:spacing w:after="0" w:line="276" w:lineRule="auto"/>
        <w:jc w:val="both"/>
        <w:rPr>
          <w:rFonts w:ascii="Palatino Linotype" w:eastAsia="Palatino Linotype" w:hAnsi="Palatino Linotype" w:cs="Palatino Linotype"/>
          <w:b/>
        </w:rPr>
      </w:pPr>
    </w:p>
    <w:p w14:paraId="00000015" w14:textId="77777777" w:rsidR="00F138E7" w:rsidRDefault="00F138E7">
      <w:pPr>
        <w:spacing w:after="0" w:line="276" w:lineRule="auto"/>
        <w:jc w:val="both"/>
        <w:rPr>
          <w:rFonts w:ascii="Palatino Linotype" w:eastAsia="Palatino Linotype" w:hAnsi="Palatino Linotype" w:cs="Palatino Linotype"/>
          <w:b/>
        </w:rPr>
      </w:pPr>
    </w:p>
    <w:p w14:paraId="00000016" w14:textId="77777777" w:rsidR="00F138E7" w:rsidRDefault="00F138E7">
      <w:pPr>
        <w:spacing w:after="0" w:line="276" w:lineRule="auto"/>
        <w:jc w:val="both"/>
        <w:rPr>
          <w:rFonts w:ascii="Palatino Linotype" w:eastAsia="Palatino Linotype" w:hAnsi="Palatino Linotype" w:cs="Palatino Linotype"/>
          <w:b/>
        </w:rPr>
      </w:pPr>
    </w:p>
    <w:p w14:paraId="00000017" w14:textId="77777777" w:rsidR="00F138E7" w:rsidRDefault="00F138E7">
      <w:pPr>
        <w:spacing w:after="0" w:line="276" w:lineRule="auto"/>
        <w:jc w:val="both"/>
        <w:rPr>
          <w:rFonts w:ascii="Palatino Linotype" w:eastAsia="Palatino Linotype" w:hAnsi="Palatino Linotype" w:cs="Palatino Linotype"/>
          <w:b/>
        </w:rPr>
      </w:pPr>
    </w:p>
    <w:p w14:paraId="00000018" w14:textId="77777777" w:rsidR="00F138E7" w:rsidRDefault="00F138E7">
      <w:pPr>
        <w:spacing w:after="0" w:line="276" w:lineRule="auto"/>
        <w:jc w:val="both"/>
        <w:rPr>
          <w:rFonts w:ascii="Palatino Linotype" w:eastAsia="Palatino Linotype" w:hAnsi="Palatino Linotype" w:cs="Palatino Linotype"/>
          <w:b/>
        </w:rPr>
      </w:pPr>
    </w:p>
    <w:p w14:paraId="00000019" w14:textId="77777777" w:rsidR="00F138E7" w:rsidRDefault="00F138E7">
      <w:pPr>
        <w:spacing w:after="0" w:line="276" w:lineRule="auto"/>
        <w:jc w:val="both"/>
        <w:rPr>
          <w:rFonts w:ascii="Palatino Linotype" w:eastAsia="Palatino Linotype" w:hAnsi="Palatino Linotype" w:cs="Palatino Linotype"/>
          <w:b/>
        </w:rPr>
      </w:pPr>
    </w:p>
    <w:p w14:paraId="0000001A" w14:textId="77777777" w:rsidR="00F138E7" w:rsidRDefault="00F138E7">
      <w:pPr>
        <w:spacing w:after="0" w:line="276" w:lineRule="auto"/>
        <w:jc w:val="both"/>
        <w:rPr>
          <w:rFonts w:ascii="Palatino Linotype" w:eastAsia="Palatino Linotype" w:hAnsi="Palatino Linotype" w:cs="Palatino Linotype"/>
          <w:b/>
        </w:rPr>
      </w:pPr>
    </w:p>
    <w:p w14:paraId="0000001B" w14:textId="77777777" w:rsidR="00F138E7" w:rsidRDefault="00F138E7">
      <w:pPr>
        <w:spacing w:after="0" w:line="276" w:lineRule="auto"/>
        <w:jc w:val="both"/>
        <w:rPr>
          <w:rFonts w:ascii="Palatino Linotype" w:eastAsia="Palatino Linotype" w:hAnsi="Palatino Linotype" w:cs="Palatino Linotype"/>
          <w:b/>
        </w:rPr>
      </w:pPr>
    </w:p>
    <w:p w14:paraId="0000001C" w14:textId="77777777" w:rsidR="00F138E7" w:rsidRDefault="00F138E7">
      <w:pPr>
        <w:spacing w:after="0" w:line="276" w:lineRule="auto"/>
        <w:jc w:val="both"/>
        <w:rPr>
          <w:rFonts w:ascii="Palatino Linotype" w:eastAsia="Palatino Linotype" w:hAnsi="Palatino Linotype" w:cs="Palatino Linotype"/>
          <w:b/>
        </w:rPr>
      </w:pPr>
    </w:p>
    <w:p w14:paraId="0000001D" w14:textId="77777777" w:rsidR="00F138E7" w:rsidRDefault="00F138E7">
      <w:pPr>
        <w:spacing w:after="0" w:line="276" w:lineRule="auto"/>
        <w:jc w:val="both"/>
        <w:rPr>
          <w:rFonts w:ascii="Palatino Linotype" w:eastAsia="Palatino Linotype" w:hAnsi="Palatino Linotype" w:cs="Palatino Linotype"/>
          <w:b/>
        </w:rPr>
      </w:pPr>
    </w:p>
    <w:p w14:paraId="0000001E" w14:textId="77777777" w:rsidR="00F138E7" w:rsidRDefault="00F138E7">
      <w:pPr>
        <w:spacing w:after="0" w:line="276" w:lineRule="auto"/>
        <w:jc w:val="both"/>
        <w:rPr>
          <w:rFonts w:ascii="Palatino Linotype" w:eastAsia="Palatino Linotype" w:hAnsi="Palatino Linotype" w:cs="Palatino Linotype"/>
          <w:b/>
        </w:rPr>
      </w:pPr>
    </w:p>
    <w:p w14:paraId="0000001F" w14:textId="77777777" w:rsidR="00F138E7" w:rsidRDefault="00F138E7">
      <w:pPr>
        <w:spacing w:after="0" w:line="276" w:lineRule="auto"/>
        <w:jc w:val="both"/>
        <w:rPr>
          <w:rFonts w:ascii="Palatino Linotype" w:eastAsia="Palatino Linotype" w:hAnsi="Palatino Linotype" w:cs="Palatino Linotype"/>
          <w:b/>
        </w:rPr>
      </w:pPr>
    </w:p>
    <w:p w14:paraId="00000020" w14:textId="77777777" w:rsidR="00F138E7" w:rsidRDefault="00F138E7">
      <w:pPr>
        <w:spacing w:after="0" w:line="276" w:lineRule="auto"/>
        <w:jc w:val="both"/>
        <w:rPr>
          <w:rFonts w:ascii="Palatino Linotype" w:eastAsia="Palatino Linotype" w:hAnsi="Palatino Linotype" w:cs="Palatino Linotype"/>
          <w:b/>
        </w:rPr>
      </w:pPr>
    </w:p>
    <w:p w14:paraId="00000021" w14:textId="77777777" w:rsidR="00F138E7" w:rsidRDefault="00F138E7">
      <w:pPr>
        <w:spacing w:after="0" w:line="276" w:lineRule="auto"/>
        <w:jc w:val="both"/>
        <w:rPr>
          <w:rFonts w:ascii="Palatino Linotype" w:eastAsia="Palatino Linotype" w:hAnsi="Palatino Linotype" w:cs="Palatino Linotype"/>
          <w:b/>
        </w:rPr>
      </w:pPr>
    </w:p>
    <w:p w14:paraId="00000022" w14:textId="77777777" w:rsidR="00F138E7" w:rsidRDefault="00F138E7">
      <w:pPr>
        <w:spacing w:after="0" w:line="276" w:lineRule="auto"/>
        <w:jc w:val="both"/>
        <w:rPr>
          <w:rFonts w:ascii="Palatino Linotype" w:eastAsia="Palatino Linotype" w:hAnsi="Palatino Linotype" w:cs="Palatino Linotype"/>
          <w:b/>
        </w:rPr>
      </w:pPr>
    </w:p>
    <w:p w14:paraId="00000023" w14:textId="77777777" w:rsidR="00F138E7" w:rsidRDefault="004E53C2">
      <w:pPr>
        <w:pBdr>
          <w:bottom w:val="single" w:sz="12" w:space="1" w:color="C45911"/>
        </w:pBdr>
        <w:spacing w:after="0"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lastRenderedPageBreak/>
        <w:t>4.7. АНАЛИЗ И ОЦЕНКА НА ВЪВЕДЕНИТЕ СХЕМИ ЗА УПРАВЛЕНИЕ НА ОТПАДЪЦИТЕ НА ПРИНЦИПА НА „ОТГОВОРНОСТ НА ПРОИЗВОДИТЕЛЯ” И „ЗАМЪРСИТЕЛЯТ ПЛАЩА”</w:t>
      </w:r>
    </w:p>
    <w:p w14:paraId="00000024" w14:textId="77777777" w:rsidR="00F138E7" w:rsidRDefault="004E53C2">
      <w:pPr>
        <w:spacing w:line="276" w:lineRule="auto"/>
        <w:jc w:val="both"/>
        <w:rPr>
          <w:rFonts w:ascii="Palatino Linotype" w:eastAsia="Palatino Linotype" w:hAnsi="Palatino Linotype" w:cs="Palatino Linotype"/>
        </w:rPr>
      </w:pPr>
      <w:bookmarkStart w:id="1" w:name="_heading=h.gjdgxs" w:colFirst="0" w:colLast="0"/>
      <w:bookmarkEnd w:id="1"/>
      <w:r>
        <w:rPr>
          <w:rFonts w:ascii="Palatino Linotype" w:eastAsia="Palatino Linotype" w:hAnsi="Palatino Linotype" w:cs="Palatino Linotype"/>
        </w:rPr>
        <w:t xml:space="preserve">Анализът има за цел да очертае основните схеми за управление на отпадъците и прилагането им на местно ниво, както и да изясни налице ли е ефективното прилагане на принципите „Разширена отговорност на производителя” и „Замърсителят плаща”. В тази връзка, анализът се фокусира върху следните въпроси: </w:t>
      </w:r>
    </w:p>
    <w:p w14:paraId="00000025" w14:textId="77777777" w:rsidR="00F138E7" w:rsidRDefault="004E53C2">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Прилага ли се принципът „Замърсителят плаща”, заложен в Договора за функционирането на Европейския съюз (чл. 191) и за кои отпадъчни потоци?; </w:t>
      </w:r>
    </w:p>
    <w:p w14:paraId="00000026" w14:textId="77777777" w:rsidR="00F138E7" w:rsidRDefault="004E53C2">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Прилага ли се принципът "Разширена отговорност на производителя"?;</w:t>
      </w:r>
    </w:p>
    <w:p w14:paraId="00000027" w14:textId="77777777" w:rsidR="00F138E7" w:rsidRDefault="004E53C2">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Да се разгледат източници на информационно обезпечаване на анализа, като  правилници, наредби, решения, одобрени от общински съвет и заповеди на кмета на общината; </w:t>
      </w:r>
    </w:p>
    <w:p w14:paraId="00000028" w14:textId="77777777" w:rsidR="00F138E7" w:rsidRDefault="004E53C2">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Да се разгледа интернет страница на общината, на която следва да е налична информация за задълженията по сключените договори с организации по оползотворяване на масово разпространени отпадъци (МРО), напр. брой и местоположение на съдове за разделно събиране на съответните видове отпадъци; площадки за предаване на МРО и др. </w:t>
      </w:r>
    </w:p>
    <w:p w14:paraId="00000029" w14:textId="77777777" w:rsidR="00F138E7" w:rsidRDefault="004E53C2">
      <w:pPr>
        <w:numPr>
          <w:ilvl w:val="0"/>
          <w:numId w:val="13"/>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Да се разгледат договори и програми на организации за оползотворяване на МРО, с които общината има сключени договори за сътрудничество (опаковки, ИУЕЕО, ИУМПС, НУБА, ИУГ, отработени масла); </w:t>
      </w:r>
    </w:p>
    <w:p w14:paraId="0000002A" w14:textId="77777777" w:rsidR="00F138E7" w:rsidRDefault="004E53C2">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Източници на информационно обезпечаване на анализа</w:t>
      </w:r>
    </w:p>
    <w:p w14:paraId="0000002B" w14:textId="77777777" w:rsidR="00F138E7" w:rsidRDefault="004E53C2">
      <w:pPr>
        <w:numPr>
          <w:ilvl w:val="0"/>
          <w:numId w:val="1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Правилници, наредби, решения, одобрени от общински съвет и заповеди на кмета на общината;</w:t>
      </w:r>
    </w:p>
    <w:p w14:paraId="0000002C" w14:textId="77777777" w:rsidR="00F138E7" w:rsidRDefault="004E53C2">
      <w:pPr>
        <w:numPr>
          <w:ilvl w:val="0"/>
          <w:numId w:val="1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Интернет страница на общината, на която следва да е налична информация за задълженията по сключените договори с организации по оползотворяване на масово разпространени отпадъци (МРО), напр. брой и местоположение на съдове за разделно събиране на съответните видове отпадъци; площадки за предаване на МРО и др.</w:t>
      </w:r>
    </w:p>
    <w:p w14:paraId="0000002D" w14:textId="77777777" w:rsidR="00F138E7" w:rsidRDefault="004E53C2">
      <w:pPr>
        <w:numPr>
          <w:ilvl w:val="0"/>
          <w:numId w:val="1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Договори и програми на организации за оползотворяване на МРО, с които общината има сключени договори за сътрудничество (опаковки, ИУЕЕО, ИУМПС, НУБА, ИУГ, отработени масла);</w:t>
      </w:r>
    </w:p>
    <w:p w14:paraId="0000002E" w14:textId="77777777" w:rsidR="00F138E7" w:rsidRDefault="004E53C2">
      <w:pPr>
        <w:numPr>
          <w:ilvl w:val="0"/>
          <w:numId w:val="1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Анализ и оценка на въведените схеми за управление на отпадъците на принципа  "Отговорност на производителя" и "Замърсителят плаща", разработен като част от анализите на състоянието на управлението на отпадъците в страната, като основа за разработването на Националния план за управление на отпадъците 2021-2028 г.</w:t>
      </w:r>
    </w:p>
    <w:p w14:paraId="0000002F" w14:textId="77777777" w:rsidR="00F138E7" w:rsidRDefault="004E53C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b/>
        </w:rPr>
        <w:lastRenderedPageBreak/>
        <w:t>Въведение.</w:t>
      </w:r>
    </w:p>
    <w:p w14:paraId="00000030"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През 2018 г. влезе в сила преразгледаният законодателен акт на ЕС за отпадъците -  Директива (ЕС) 2018/851 на Европейския парламент и съвета от 30 май 2018 година за изменение на Директива 2008/98/ЕО относно отпадъците. С него бяха определени ясни цели по отношение на рециклирането и дългосрочен план за съвременно управление на отпадъците. Това включва: </w:t>
      </w:r>
    </w:p>
    <w:p w14:paraId="00000031" w14:textId="77777777" w:rsidR="00F138E7" w:rsidRDefault="004E53C2">
      <w:pPr>
        <w:numPr>
          <w:ilvl w:val="0"/>
          <w:numId w:val="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цели за рециклиране на битови отпадъци и отпадъци от опаковки;</w:t>
      </w:r>
    </w:p>
    <w:p w14:paraId="00000032" w14:textId="77777777" w:rsidR="00F138E7" w:rsidRDefault="004E53C2">
      <w:pPr>
        <w:numPr>
          <w:ilvl w:val="0"/>
          <w:numId w:val="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задължителни цели за намаляване на депонирането на отпадъци до максимално допустимо ниво;</w:t>
      </w:r>
    </w:p>
    <w:p w14:paraId="00000033" w14:textId="77777777" w:rsidR="00F138E7" w:rsidRDefault="004E53C2">
      <w:pPr>
        <w:numPr>
          <w:ilvl w:val="0"/>
          <w:numId w:val="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мерки за намаляване на хранителните отпадъци и морските отпадъци.</w:t>
      </w:r>
    </w:p>
    <w:p w14:paraId="00000034"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Рамкова директива относно отпадъците /РДО/ съставлява цялостната регулаторна рамка на ЕС. Тя излага фундаменталните определения, основните принципи и цялостните стратегически цели и определя изискванията за всички видове отпадъци, освен ако те се регулират специално от други директиви. Целта на Директивата е да установи правна рамка за третирането на отпадъци в ЕС. Рамката е предназначена за защита на околната среда и човешкото здраве, като подчертава значението на правилното управление на отпадъците, методите за оползотворяване и рециклиране, за да се намали въздействието върху ресурсите и да се подобри тяхното използване.</w:t>
      </w:r>
    </w:p>
    <w:p w14:paraId="00000035"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 директивата се установява йерархия на отпадъците. </w:t>
      </w:r>
      <w:r>
        <w:rPr>
          <w:rFonts w:ascii="Palatino Linotype" w:eastAsia="Palatino Linotype" w:hAnsi="Palatino Linotype" w:cs="Palatino Linotype"/>
          <w:b/>
        </w:rPr>
        <w:t>Тя затвърждава „принципа замърсителят плаща“, следователно разходите за управление на отпадъците се понасят от първоначалния причинител на отпадъците</w:t>
      </w:r>
      <w:r>
        <w:rPr>
          <w:rFonts w:ascii="Palatino Linotype" w:eastAsia="Palatino Linotype" w:hAnsi="Palatino Linotype" w:cs="Palatino Linotype"/>
        </w:rPr>
        <w:t>. Тя въвежда понятието „</w:t>
      </w:r>
      <w:r>
        <w:rPr>
          <w:rFonts w:ascii="Palatino Linotype" w:eastAsia="Palatino Linotype" w:hAnsi="Palatino Linotype" w:cs="Palatino Linotype"/>
          <w:b/>
        </w:rPr>
        <w:t>разширена отговорност на производителя</w:t>
      </w:r>
      <w:r>
        <w:rPr>
          <w:rFonts w:ascii="Palatino Linotype" w:eastAsia="Palatino Linotype" w:hAnsi="Palatino Linotype" w:cs="Palatino Linotype"/>
        </w:rPr>
        <w:t>“. В директивата се прави разграничение между отпадъци и странични продукти. Управлението на отпадъците се извършва без риск за водата, въздуха, почвата, растенията или животните, без да се предизвиква неудобство чрез шум или миризми и без да се причиняват вреди на природната среда или местата, които са обект на специален интерес. Производителите или притежателите на отпадъци трябва да ги обработват сами или да ги предадат на официално признат оператор. И двете изискват разрешение и периодични проверки.</w:t>
      </w:r>
    </w:p>
    <w:p w14:paraId="00000036"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През март 2020 г., Комисията прие нов план за действие на ЕС относно кръговата икономика като основен елемент на своя Европейски зелен пакт от 2019 г., с оглед насърчаване на ефикасното използване на ресурсите в подкрепа на прехода към чиста, кръгова икономика, възстановяване на биологичното разнообразие и намаляване на замърсяването. </w:t>
      </w:r>
    </w:p>
    <w:p w14:paraId="00000037" w14:textId="77777777" w:rsidR="00F138E7" w:rsidRDefault="004E53C2">
      <w:pPr>
        <w:spacing w:line="276" w:lineRule="auto"/>
        <w:jc w:val="both"/>
        <w:rPr>
          <w:rFonts w:ascii="Palatino Linotype" w:eastAsia="Palatino Linotype" w:hAnsi="Palatino Linotype" w:cs="Palatino Linotype"/>
          <w:color w:val="000000"/>
        </w:rPr>
      </w:pPr>
      <w:bookmarkStart w:id="2" w:name="_heading=h.30j0zll" w:colFirst="0" w:colLast="0"/>
      <w:bookmarkEnd w:id="2"/>
      <w:r>
        <w:rPr>
          <w:rFonts w:ascii="Palatino Linotype" w:eastAsia="Palatino Linotype" w:hAnsi="Palatino Linotype" w:cs="Palatino Linotype"/>
        </w:rPr>
        <w:t>В тази връзка и з</w:t>
      </w:r>
      <w:r>
        <w:rPr>
          <w:rFonts w:ascii="Palatino Linotype" w:eastAsia="Palatino Linotype" w:hAnsi="Palatino Linotype" w:cs="Palatino Linotype"/>
          <w:color w:val="000000"/>
        </w:rPr>
        <w:t xml:space="preserve">аконодателството на ЕС изисква от компетентния орган на всяка държава членка да съставя един или повече планове за управление на отпадъците в съответствие с относимите директиви на ЕС. Отговорност на всяка отделна държава </w:t>
      </w:r>
      <w:r>
        <w:rPr>
          <w:rFonts w:ascii="Palatino Linotype" w:eastAsia="Palatino Linotype" w:hAnsi="Palatino Linotype" w:cs="Palatino Linotype"/>
          <w:color w:val="000000"/>
        </w:rPr>
        <w:lastRenderedPageBreak/>
        <w:t>членка е да прилага принципите на тези директиви при въвеждането на национална система за управление на отпадъците. По този начин планирането на управлението на отпадъците се е превърнало в постоянен елемент от усилията за публично планиране във всички държави членки на ЕС. Рамкова директива относно отпадъците (РДО) излага основните изисквания за съдържанието на плана за управление на отпадъците. Освен това, редица други директиви на ЕС указват елементите на планирането, които трябва да бъдат включени в плана. Един национален план за управление на отпадъците е от стратегическо естество, набелязвайки определени цели, докато регионалните или местни планове са ориентирани към действията и тяхното осъществяване - оперативни планове с подробни описания на настоящите системи за събиране, инсталации за третиране и др.</w:t>
      </w:r>
    </w:p>
    <w:p w14:paraId="00000038" w14:textId="77777777" w:rsidR="00F138E7" w:rsidRDefault="004E53C2">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Националните планове за управление на отпадъците и/ или регионалните/ местни планове обаче, могат да съдържат мерки с по-широк обхват в зависимост от националното законодателство и политиката по отпадъците, приложима на регионално или местно равнище. </w:t>
      </w:r>
    </w:p>
    <w:p w14:paraId="00000039"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 България се прилагат успешно няколко основни схеми за управление на отпадъците в съответствие с националното законодателство в т.ч.  и отговорност на причинителя и притежателя за образуваните отпадъци при производството на стоки и услуги, разширена отговорност на производителя относно 6 групи масово разпространени отпадъци и схема за отговорност на домакинствата и на другите лица, които генерират подобни на битовите отпадъци. </w:t>
      </w:r>
    </w:p>
    <w:p w14:paraId="0000003A" w14:textId="77777777" w:rsidR="00F138E7" w:rsidRDefault="004E53C2">
      <w:pPr>
        <w:pBdr>
          <w:bottom w:val="single" w:sz="4" w:space="1" w:color="C55911"/>
        </w:pBd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4.7.1. Изясняване на същността на принципите „Замърсителят плаща” и  "Разширена отговорност на производителя" и приложението им в общината</w:t>
      </w:r>
    </w:p>
    <w:p w14:paraId="0000003B" w14:textId="77777777" w:rsidR="00F138E7" w:rsidRDefault="004E53C2">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1. Принципът „Замърсителят плаща”.</w:t>
      </w:r>
    </w:p>
    <w:p w14:paraId="0000003C"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Принципът е заложен в Договора за функционирането на Европейския съюз (чл.191). С </w:t>
      </w:r>
      <w:r>
        <w:rPr>
          <w:rFonts w:ascii="Palatino Linotype" w:eastAsia="Palatino Linotype" w:hAnsi="Palatino Linotype" w:cs="Palatino Linotype"/>
          <w:i/>
        </w:rPr>
        <w:t>Директива 2004/35/EО относно екологичната отговорност по отношение на предотвратяването и отстраняването на екологичните щети</w:t>
      </w:r>
      <w:r>
        <w:rPr>
          <w:rFonts w:ascii="Palatino Linotype" w:eastAsia="Palatino Linotype" w:hAnsi="Palatino Linotype" w:cs="Palatino Linotype"/>
        </w:rPr>
        <w:t xml:space="preserve"> се определят правила въз основа на принципа „замърсителят плаща“. Това означава, че дадено дружество, което причинява екологични щети, носи отговорност за тях и трябва да предприеме необходимите действия за тяхното предотвратяване или отстраняване, и да поеме всички свързани разходи. Понятието „екологични щети“ е определено в директивата като: щети, които засягат значително екологичното, химичното или количественото състояние на водните ресурси по смисъла на Директива 2000/60/ЕО, Рамковата директива на ЕС за водите, и Директива 2008/56/ЕО, Директивата относно стратегията за морската среда; щети на почвата, които създават значителна опасност за здравето на хората; щети на защитени видове и естествени местообитания, които засягат </w:t>
      </w:r>
      <w:r>
        <w:rPr>
          <w:rFonts w:ascii="Palatino Linotype" w:eastAsia="Palatino Linotype" w:hAnsi="Palatino Linotype" w:cs="Palatino Linotype"/>
        </w:rPr>
        <w:lastRenderedPageBreak/>
        <w:t>неблагоприятно опазването им по смисъла на Директива 2009/147/EО относно опазването на дивите птици и Директива 92/43/ЕИП, Директивата за естествените местообитания. Определението включва отделянето на замърсители във въздуха (тъй като това засяга състоянието на почвата или водите), повърхностните води във вътрешността и подземните води и всяко преднамерено освобождаване в околната среда на генетично модифицирани организми по смисъла на Директива 2001/18/EО. Директивата беше изменена през 2019 г. с Регламент (ЕС) 2019/1010, който хармонизира и оптимизира задълженията за докладване в областта на законодателството за околната среда.</w:t>
      </w:r>
    </w:p>
    <w:p w14:paraId="0000003D" w14:textId="77777777" w:rsidR="00F138E7" w:rsidRDefault="004E53C2">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Съгласно принципът „Замърсителят плаща“ се изисква: </w:t>
      </w:r>
    </w:p>
    <w:p w14:paraId="0000003E" w14:textId="77777777" w:rsidR="00F138E7" w:rsidRDefault="004E53C2">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причинителят и притежателят на отпадъци да ги управляват по начин, който гарантира висока степен на защита за околната среда и човешкото здраве; </w:t>
      </w:r>
    </w:p>
    <w:p w14:paraId="0000003F" w14:textId="77777777" w:rsidR="00F138E7" w:rsidRDefault="004E53C2">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причинителите на отпадъци да поемат отговорност за отпадъците си; </w:t>
      </w:r>
    </w:p>
    <w:p w14:paraId="00000040" w14:textId="77777777" w:rsidR="00F138E7" w:rsidRDefault="004E53C2">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разходите за опазване на околната среда и човешко здраве, свързани с образуването и третирането на отпадъците, трябва да бъдат отчитани при определяне цената на продуктите и услугите; </w:t>
      </w:r>
    </w:p>
    <w:p w14:paraId="00000041" w14:textId="77777777" w:rsidR="00F138E7" w:rsidRDefault="004E53C2">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разходите за третиране и транспортиране на отпадъците са за сметка на причинителите и притежателите на отпадъците. </w:t>
      </w:r>
    </w:p>
    <w:p w14:paraId="00000042" w14:textId="77777777" w:rsidR="00F138E7" w:rsidRDefault="00F138E7">
      <w:pPr>
        <w:pBdr>
          <w:top w:val="nil"/>
          <w:left w:val="nil"/>
          <w:bottom w:val="nil"/>
          <w:right w:val="nil"/>
          <w:between w:val="nil"/>
        </w:pBdr>
        <w:spacing w:after="0" w:line="276" w:lineRule="auto"/>
        <w:ind w:left="720"/>
        <w:jc w:val="both"/>
        <w:rPr>
          <w:rFonts w:ascii="Palatino Linotype" w:eastAsia="Palatino Linotype" w:hAnsi="Palatino Linotype" w:cs="Palatino Linotype"/>
          <w:color w:val="000000"/>
        </w:rPr>
      </w:pPr>
    </w:p>
    <w:p w14:paraId="00000043" w14:textId="77777777" w:rsidR="00F138E7" w:rsidRDefault="004E53C2">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Принципът „Замърсителят плаща” и за кои потоци отпадъци се прилагат на територията на общината;</w:t>
      </w:r>
    </w:p>
    <w:p w14:paraId="00000044"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На територията на СО е създадена организация по отношение на разделното събиране на всички видове битови отпадъци, за които общината има ангажименти, произтичащи от националното законодателство.</w:t>
      </w:r>
    </w:p>
    <w:p w14:paraId="00000045"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Принципът „замърсителят плаща” се прилага частично по отношение услугите, свързани с битовите отпадъци. Таксата за битови отпадъци за имоти на граждани и жилищни имоти на предприятия се определя пропорционално в промили на база данъчната оценка на имотите, като разпределянето на размера на промила по видове услуги е, както следва:</w:t>
      </w:r>
    </w:p>
    <w:p w14:paraId="00000046"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1. за сметосъбиране и сметоизвозване;</w:t>
      </w:r>
    </w:p>
    <w:p w14:paraId="00000047"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2. за обезвреждане на битови отпадъци в депа или други съоръжения;</w:t>
      </w:r>
    </w:p>
    <w:p w14:paraId="00000048"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3. за поддържане чистотата на териториите за обществено ползване.</w:t>
      </w:r>
    </w:p>
    <w:p w14:paraId="00000049"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Освен това, Столична община е създала нормативна възможност за юридическите лица да заплащат услугите по организирано сметоизвозване на база количество чрез предварителна заявка или чрез самостоятелно организиране на транспортирането им. </w:t>
      </w:r>
    </w:p>
    <w:p w14:paraId="0000004A"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Съгласно чл. 22 от Наредбата за определяне и администриране на местни такси и цени на услуги, предоставяни от Столична община:</w:t>
      </w:r>
    </w:p>
    <w:p w14:paraId="0000004B"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Такса за битови отпадъци за нежилищни имоти на предприятията се определя:</w:t>
      </w:r>
    </w:p>
    <w:p w14:paraId="0000004C" w14:textId="77777777" w:rsidR="00F138E7" w:rsidRDefault="004E53C2">
      <w:pPr>
        <w:numPr>
          <w:ilvl w:val="0"/>
          <w:numId w:val="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според количеството на битовите отпадъци съобразно вида и броя на съдовете за съхраняването им и честотата на сметоизвозване;</w:t>
      </w:r>
    </w:p>
    <w:p w14:paraId="0000004D" w14:textId="77777777" w:rsidR="00F138E7" w:rsidRDefault="004E53C2">
      <w:pPr>
        <w:numPr>
          <w:ilvl w:val="0"/>
          <w:numId w:val="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чрез пряко договаряне;</w:t>
      </w:r>
    </w:p>
    <w:p w14:paraId="0000004E" w14:textId="77777777" w:rsidR="00F138E7" w:rsidRDefault="004E53C2">
      <w:pPr>
        <w:numPr>
          <w:ilvl w:val="0"/>
          <w:numId w:val="5"/>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пропорционално в промили.</w:t>
      </w:r>
    </w:p>
    <w:p w14:paraId="0000004F" w14:textId="77777777" w:rsidR="00F138E7" w:rsidRDefault="004E53C2">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Чл. 23. (1) За определяне на такса за битови отпадъци за нежилищни имоти на предприятията, попадащи в границите на организираното сметосъбиране и сметоизвозване, по реда на чл. 22, т. 1 предприятията подават в срок от 1 октомври до 30 ноември на предходната година до кмета на Столична община чрез Дирекция "Икономика и търговска дейност" декларация по образец (Декларация № 1) в два екземпляра за вида и броя на съдовете за съхраняване на битови отпадъци, които ще се използват през годината.</w:t>
      </w:r>
    </w:p>
    <w:p w14:paraId="00000050" w14:textId="77777777" w:rsidR="00F138E7" w:rsidRDefault="004E53C2">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(2) (Изм. - Решение № 313 по Протокол № 19 от 28.06.2012 г., изм. и доп. - Решение № 3 по Протокол № 75 от 22.01.2015 г.)  В седемдневен срок от подаване на декларацията по ал. 1 Дирекция "Икономика и търговска дейност" изпраща екземпляр от нея в Дирекция "Приходи и администриране на местни данъци и такси" за изчисляване размера на дължимата такса за битови отпадъци и в Столичен инспекторат - за контрол.</w:t>
      </w:r>
    </w:p>
    <w:p w14:paraId="00000051" w14:textId="77777777" w:rsidR="00F138E7" w:rsidRDefault="004E53C2">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(3) Столичният общински съвет определя размера на таксата за битови отпадъци на един съд за една година за всеки район на Столична община при определена честота на сметоизвозване в левове, в зависимост от вида и обема на съда, като цена на услугите по сметосъбиране и сметоизвозване, и обезвреждане в депа или други съоръжения на битовите отпадъци.</w:t>
      </w:r>
    </w:p>
    <w:p w14:paraId="00000052" w14:textId="77777777" w:rsidR="00F138E7" w:rsidRDefault="004E53C2">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(4) Освен таксата по ал. 3 предприятията заплащат и такса за услугата по поддържане на чистотата на териториите за обществено ползване в размер, пропорционален в промили на отчетната стойност на имотите.</w:t>
      </w:r>
    </w:p>
    <w:p w14:paraId="00000053" w14:textId="77777777" w:rsidR="00F138E7" w:rsidRDefault="004E53C2">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Чл. 24. (1) (Изм. - Решение № 313 по Протокол № 19 от 28.06.2012 г.)  За определяне на такса за битови отпадъци за нежилищни имоти на предприятията чрез пряко договаряне с фирми, извършващи услугата по сметосъбиране и сметоизвозване, предприятията подават в срок от 1 октомври до 30 ноември на предходната година молба по образец до кмета на Столична община чрез Дирекция "Икономика и търговска дейност".</w:t>
      </w:r>
    </w:p>
    <w:p w14:paraId="00000054"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общината се прилага напълно принципът „замърсителят плаща” относно строителните отпадъци и утайките от пречиствателни станции за отпадни води /ПСОВ/.</w:t>
      </w:r>
    </w:p>
    <w:p w14:paraId="00000055"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 xml:space="preserve">С Наредбата за управление на отпадъците и поддържане и опазване на чистотата на територията на Столична община, приета с Решение № 364 по протокол № 84 от 25.06.2015 г. на Столичен общински съвет е въведено изискване лицата, извършващи търговска дейност в търговски обекти, производствени и стопански сгради, здравни и социални сгради и заведения, заведения за хранене и развлечения, обекти за комунални и други услуги, хотели и други места за настаняване и съпътстващи производството занаятчийски дейности, са длъжни да събират разделно отпадъци от хартия и картон, метал, пластмаси и стъкло, да  предават за разделно събраните отпадъци </w:t>
      </w:r>
      <w:proofErr w:type="spellStart"/>
      <w:r>
        <w:rPr>
          <w:rFonts w:ascii="Palatino Linotype" w:eastAsia="Palatino Linotype" w:hAnsi="Palatino Linotype" w:cs="Palatino Linotype"/>
        </w:rPr>
        <w:t>на:а</w:t>
      </w:r>
      <w:proofErr w:type="spellEnd"/>
      <w:r>
        <w:rPr>
          <w:rFonts w:ascii="Palatino Linotype" w:eastAsia="Palatino Linotype" w:hAnsi="Palatino Linotype" w:cs="Palatino Linotype"/>
        </w:rPr>
        <w:t>)  организация по оползотворяване на отпадъци от опаковки или на б) лица притежаващи разрешение, комплексно разрешително или регистрационен документ, издаден по реда на ЗУО, както и да създадат вътрешни правила за организиране на разделно събиране на отпадъци от хартия и картон, метал, пластмаси и стъкло на територията на съответния обект.</w:t>
      </w:r>
    </w:p>
    <w:p w14:paraId="00000056" w14:textId="77777777" w:rsidR="00F138E7" w:rsidRDefault="004E53C2">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Въведено е и изискване към лицата извършващи дейности по събиране и транспортиране на отпадъци от опаковки и битови отпадъчни материали от хартия и картон, метали, пластмаси и стъкло на територията на Столична община, да предоставят безвъзмездно индивидуални съдове и/или чу вази за разделно събиране на отпадъци от хартия, метали, пластмаси и стъкло, на ползватели на административни, социални, обществени сгради, заведения за обществено хранене, търговски обекти и обекти за отдих, забавления и туризъм, в случаите, когато имат сключен договор с Организации по оползотворяване на отпадъци от опаковки, както и да събират и транспортират по предварителен график, предадените отпадъци от цитираните обекти без допълнително заплащане.</w:t>
      </w:r>
    </w:p>
    <w:p w14:paraId="00000057" w14:textId="77777777" w:rsidR="00F138E7" w:rsidRDefault="00F138E7">
      <w:pPr>
        <w:spacing w:line="276" w:lineRule="auto"/>
        <w:jc w:val="both"/>
        <w:rPr>
          <w:rFonts w:ascii="Palatino Linotype" w:eastAsia="Palatino Linotype" w:hAnsi="Palatino Linotype" w:cs="Palatino Linotype"/>
          <w:b/>
        </w:rPr>
      </w:pPr>
    </w:p>
    <w:p w14:paraId="00000058"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b/>
        </w:rPr>
        <w:t>2. Принципът „Разширена отговорност на производителя“ (РОП)</w:t>
      </w:r>
    </w:p>
    <w:p w14:paraId="00000059"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Това е екологичен принцип, който се прилага като съвкупност от мерки с цел намаляване на общото въздействие върху околната среда от даден продукт и въвежда задължения и отговорности за производителя на продукта по време на целия му жизнен цикъл за: ограничаване на съдържанието на опасни вещества, обратно приемане, предотвратяване на отпадъците и повторна употреба, рециклиране, оползотворяване и обезвреждане на отпадъците, получени в резултат на употребата на продукта. </w:t>
      </w:r>
    </w:p>
    <w:p w14:paraId="0000005A"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съответствие с този принцип, производителите на продукти трябва да поемат отговорност, включително за финансирането на:</w:t>
      </w:r>
    </w:p>
    <w:p w14:paraId="0000005B" w14:textId="77777777" w:rsidR="00F138E7" w:rsidRDefault="004E53C2">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предотвратяване и намаляване на отпадъци, образувани при производството на техните продукти;</w:t>
      </w:r>
    </w:p>
    <w:p w14:paraId="0000005C" w14:textId="77777777" w:rsidR="00F138E7" w:rsidRDefault="004E53C2">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проектиране и разработване на продукти, които подлежат на многократна употреба, технически издръжливи са, не съдържат или имат ограничено съдържание на материали и вещества, представляващи риск за околната среда;</w:t>
      </w:r>
    </w:p>
    <w:p w14:paraId="0000005D" w14:textId="77777777" w:rsidR="00F138E7" w:rsidRDefault="004E53C2">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развиване на пазар за повторната употреба и рециклирането на отпадъците, образувани след крайната употреба на пусканите на пазара продукти.</w:t>
      </w:r>
    </w:p>
    <w:p w14:paraId="0000005E" w14:textId="77777777" w:rsidR="00F138E7" w:rsidRDefault="004E53C2">
      <w:pPr>
        <w:widowControl w:val="0"/>
        <w:pBdr>
          <w:top w:val="nil"/>
          <w:left w:val="nil"/>
          <w:bottom w:val="nil"/>
          <w:right w:val="nil"/>
          <w:between w:val="nil"/>
        </w:pBdr>
        <w:spacing w:after="0" w:line="276" w:lineRule="auto"/>
        <w:ind w:left="20" w:right="20"/>
        <w:jc w:val="both"/>
        <w:rPr>
          <w:rFonts w:ascii="Palatino Linotype" w:eastAsia="Palatino Linotype" w:hAnsi="Palatino Linotype" w:cs="Palatino Linotype"/>
          <w:color w:val="000000"/>
        </w:rPr>
      </w:pPr>
      <w:r>
        <w:rPr>
          <w:rFonts w:ascii="Palatino Linotype" w:eastAsia="Palatino Linotype" w:hAnsi="Palatino Linotype" w:cs="Palatino Linotype"/>
          <w:b/>
          <w:color w:val="000000"/>
        </w:rPr>
        <w:t>Принцип</w:t>
      </w:r>
      <w:r>
        <w:rPr>
          <w:rFonts w:ascii="Palatino Linotype" w:eastAsia="Palatino Linotype" w:hAnsi="Palatino Linotype" w:cs="Palatino Linotype"/>
          <w:b/>
        </w:rPr>
        <w:t>ът</w:t>
      </w:r>
      <w:r>
        <w:rPr>
          <w:rFonts w:ascii="Palatino Linotype" w:eastAsia="Palatino Linotype" w:hAnsi="Palatino Linotype" w:cs="Palatino Linotype"/>
          <w:b/>
          <w:color w:val="000000"/>
        </w:rPr>
        <w:t xml:space="preserve"> "Разширена отговорност на производителя" и сключени договори с  Организации по оползотворяване на </w:t>
      </w:r>
      <w:proofErr w:type="spellStart"/>
      <w:r>
        <w:rPr>
          <w:rFonts w:ascii="Palatino Linotype" w:eastAsia="Palatino Linotype" w:hAnsi="Palatino Linotype" w:cs="Palatino Linotype"/>
          <w:b/>
          <w:color w:val="000000"/>
        </w:rPr>
        <w:t>МРО.</w:t>
      </w:r>
      <w:r>
        <w:rPr>
          <w:rFonts w:ascii="Palatino Linotype" w:eastAsia="Palatino Linotype" w:hAnsi="Palatino Linotype" w:cs="Palatino Linotype"/>
          <w:color w:val="000000"/>
        </w:rPr>
        <w:t>Съгласно</w:t>
      </w:r>
      <w:proofErr w:type="spellEnd"/>
      <w:r>
        <w:rPr>
          <w:rFonts w:ascii="Palatino Linotype" w:eastAsia="Palatino Linotype" w:hAnsi="Palatino Linotype" w:cs="Palatino Linotype"/>
          <w:color w:val="000000"/>
        </w:rPr>
        <w:t xml:space="preserve"> § 1, т.7 от ДР на Закон за управление на отпадъците /ЗУО/  „Масово разпространени отпадъци" са отпадъци, които се образуват след употреба на продукти от многобройни източници на територията на цялата страна и поради своите характеристики изискват специално управление. В схемата за Разширена отговорност на производителя (РОП)</w:t>
      </w:r>
      <w:r>
        <w:rPr>
          <w:rFonts w:ascii="Palatino Linotype" w:eastAsia="Palatino Linotype" w:hAnsi="Palatino Linotype" w:cs="Palatino Linotype"/>
          <w:b/>
          <w:color w:val="000000"/>
        </w:rPr>
        <w:t xml:space="preserve"> </w:t>
      </w:r>
      <w:r>
        <w:rPr>
          <w:rFonts w:ascii="Palatino Linotype" w:eastAsia="Palatino Linotype" w:hAnsi="Palatino Linotype" w:cs="Palatino Linotype"/>
          <w:color w:val="000000"/>
        </w:rPr>
        <w:t>поетапно са включени следните масово разпространени отпадъци:</w:t>
      </w:r>
    </w:p>
    <w:p w14:paraId="0000005F" w14:textId="77777777" w:rsidR="00F138E7" w:rsidRDefault="004E53C2">
      <w:pPr>
        <w:widowControl w:val="0"/>
        <w:numPr>
          <w:ilvl w:val="0"/>
          <w:numId w:val="16"/>
        </w:numPr>
        <w:pBdr>
          <w:top w:val="nil"/>
          <w:left w:val="nil"/>
          <w:bottom w:val="nil"/>
          <w:right w:val="nil"/>
          <w:between w:val="nil"/>
        </w:pBdr>
        <w:spacing w:after="0" w:line="276" w:lineRule="auto"/>
        <w:ind w:righ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Отпадъци от опаковки;</w:t>
      </w:r>
    </w:p>
    <w:p w14:paraId="00000060" w14:textId="77777777" w:rsidR="00F138E7" w:rsidRDefault="004E53C2">
      <w:pPr>
        <w:numPr>
          <w:ilvl w:val="0"/>
          <w:numId w:val="1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Отпадъци от ИУЕЕО;</w:t>
      </w:r>
    </w:p>
    <w:p w14:paraId="00000061" w14:textId="77777777" w:rsidR="00F138E7" w:rsidRDefault="004E53C2">
      <w:pPr>
        <w:numPr>
          <w:ilvl w:val="0"/>
          <w:numId w:val="1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Отпадъци от ИУМПС;</w:t>
      </w:r>
    </w:p>
    <w:p w14:paraId="00000062" w14:textId="77777777" w:rsidR="00F138E7" w:rsidRDefault="004E53C2">
      <w:pPr>
        <w:numPr>
          <w:ilvl w:val="0"/>
          <w:numId w:val="1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Отпадъци от батерии и акумулатори ;</w:t>
      </w:r>
    </w:p>
    <w:p w14:paraId="00000063" w14:textId="77777777" w:rsidR="00F138E7" w:rsidRDefault="004E53C2">
      <w:pPr>
        <w:numPr>
          <w:ilvl w:val="0"/>
          <w:numId w:val="1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Отпадъци от гуми;</w:t>
      </w:r>
    </w:p>
    <w:p w14:paraId="00000064" w14:textId="77777777" w:rsidR="00F138E7" w:rsidRDefault="004E53C2">
      <w:pPr>
        <w:numPr>
          <w:ilvl w:val="0"/>
          <w:numId w:val="1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Отпадъчни масла и нефтопродукти;</w:t>
      </w:r>
    </w:p>
    <w:p w14:paraId="00000065" w14:textId="77777777" w:rsidR="00F138E7" w:rsidRDefault="00F138E7">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p>
    <w:p w14:paraId="00000066" w14:textId="77777777" w:rsidR="00F138E7" w:rsidRDefault="004E53C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 тази схема за РОП лицата, пускащи на пазара продукти, които след тяхната употреба се превръщат в МРО, са задължените по схемата лица и носят отговорност за тяхното последващо събиране и рециклиране, в съответствие с изискванията на ЗУО и специфичните наредби за всеки вид МРО.</w:t>
      </w:r>
    </w:p>
    <w:p w14:paraId="00000067" w14:textId="77777777" w:rsidR="00F138E7" w:rsidRDefault="004E53C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Схемата за РОП може да се осъществи по два начина от задължените в схемата фирми:</w:t>
      </w:r>
    </w:p>
    <w:p w14:paraId="00000068" w14:textId="77777777" w:rsidR="00F138E7" w:rsidRDefault="004E53C2">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Чрез колективна система, представлявана от организация за оползотворяване (ОО) на съответните МРО.</w:t>
      </w:r>
    </w:p>
    <w:p w14:paraId="00000069" w14:textId="77777777" w:rsidR="00F138E7" w:rsidRDefault="004E53C2">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Индивидуално от задълженото лице (конкретна фирма), което пуска на пазара МРО.</w:t>
      </w:r>
    </w:p>
    <w:p w14:paraId="0000006A" w14:textId="77777777" w:rsidR="00F138E7" w:rsidRDefault="004E53C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Разширената отговорност на производителя се прилага независимо от отговорността за управление на отпадъците на общините, предвидена в ЗУО, и без да се засягат разпоредбите, определящи изисквания към определени групи отпадъци или продукти.</w:t>
      </w:r>
    </w:p>
    <w:p w14:paraId="0000006B" w14:textId="77777777" w:rsidR="00F138E7" w:rsidRDefault="004E53C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наредбите на Министерски съвет се определят и:</w:t>
      </w:r>
    </w:p>
    <w:p w14:paraId="0000006C" w14:textId="77777777" w:rsidR="00F138E7" w:rsidRDefault="004E53C2">
      <w:pPr>
        <w:numPr>
          <w:ilvl w:val="0"/>
          <w:numId w:val="1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изискванията към лицата, пускащи на пазара продукти, след употребата на които се образуват масово разпространени отпадъци относно териториалния им обхват на дейност и обхвата относно продуктите и материалите, без да се ограничават до територии, в които събирането и управлението на отпадъци е най-рентабилно, и изискванията за осигуряване в съответната територия на подходяща наличност на системи за събиране на отпадъци;</w:t>
      </w:r>
    </w:p>
    <w:p w14:paraId="0000006D" w14:textId="77777777" w:rsidR="00F138E7" w:rsidRDefault="004E53C2">
      <w:pPr>
        <w:numPr>
          <w:ilvl w:val="0"/>
          <w:numId w:val="1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ролите и отговорностите на заинтересованите участници, включително на лицата, пускащи на пазара продукти, след употребата на които се образуват масово разпространени отпадъци, на частните или публичните оператори, осъществяващи дейност в областта на отпадъците, на органите на местно самоуправление и когато е целесъобразно, на операторите, осъществяващи повторна употреба и подготовка за повторна употреба, и на предприятията по Закона за предприятията на социалната и солидарна икономика;</w:t>
      </w:r>
    </w:p>
    <w:p w14:paraId="0000006E" w14:textId="77777777" w:rsidR="00F138E7" w:rsidRDefault="004E53C2">
      <w:pPr>
        <w:numPr>
          <w:ilvl w:val="0"/>
          <w:numId w:val="1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целите за управлението на отпадъците в съответствие с йерархия за управление на отпадъците, в т.ч. количествените цели относно отпадъците от опаковки, излязло от употреба електрическо и електронно оборудване (ИУЕЕО), излезли от употреба моторни превозни средства (ИУМПС), негодни за употреба батерии и акумулатори (НУБА), и други видове масово разпространени отпадъци, както и други количествени и/или качествени цели, които се отнасят за схемата за разширена отговорност на производителя.</w:t>
      </w:r>
    </w:p>
    <w:p w14:paraId="0000006F" w14:textId="77777777" w:rsidR="00F138E7" w:rsidRDefault="004E53C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Общините са отговорни за събирането на отпадъците на тяхната територия, като извършват тази дейност самостоятелно или чрез регионални сдружения. Столична община извършва тази дейност самостоятелно.  </w:t>
      </w:r>
    </w:p>
    <w:p w14:paraId="00000070" w14:textId="77777777" w:rsidR="00F138E7" w:rsidRDefault="004E53C2">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В гр. София са сключени следните договори с фирми, отговорни за разделно събиране и/или оползотворяване на МРО:</w:t>
      </w:r>
    </w:p>
    <w:p w14:paraId="00000071"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„ЕКОБУЛТЕХ“ АД- СОА17-ДГ56-419 / 16.05.2017</w:t>
      </w:r>
      <w:r>
        <w:rPr>
          <w:rFonts w:ascii="Palatino Linotype" w:eastAsia="Palatino Linotype" w:hAnsi="Palatino Linotype" w:cs="Palatino Linotype"/>
          <w:color w:val="000000"/>
        </w:rPr>
        <w:tab/>
        <w:t>до 16.05.2023;</w:t>
      </w:r>
    </w:p>
    <w:p w14:paraId="00000072"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„БЪЛГАРСКА РЕЦИКЛИРАЩА КОМПАНИЯ“ АД</w:t>
      </w:r>
      <w:r>
        <w:rPr>
          <w:rFonts w:ascii="Palatino Linotype" w:eastAsia="Palatino Linotype" w:hAnsi="Palatino Linotype" w:cs="Palatino Linotype"/>
          <w:color w:val="000000"/>
        </w:rPr>
        <w:tab/>
        <w:t xml:space="preserve"> -СОА19-ДГ56-1203/11.09.2019 до 11.09.2024;</w:t>
      </w:r>
    </w:p>
    <w:p w14:paraId="00000073"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„ЕКОПАК БЪЛГАРИЯ“ АД</w:t>
      </w:r>
      <w:r>
        <w:rPr>
          <w:rFonts w:ascii="Palatino Linotype" w:eastAsia="Palatino Linotype" w:hAnsi="Palatino Linotype" w:cs="Palatino Linotype"/>
          <w:color w:val="000000"/>
        </w:rPr>
        <w:tab/>
        <w:t>- СОА19-ДГ56-72 / 29.01.2019 до 29.01.2024;</w:t>
      </w:r>
    </w:p>
    <w:p w14:paraId="00000074"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„БУЛЕКОПАК“ АД</w:t>
      </w:r>
      <w:r>
        <w:rPr>
          <w:rFonts w:ascii="Palatino Linotype" w:eastAsia="Palatino Linotype" w:hAnsi="Palatino Linotype" w:cs="Palatino Linotype"/>
          <w:color w:val="000000"/>
        </w:rPr>
        <w:tab/>
        <w:t>- СОА19-ДГ56-74 / 29.01.2019 до 29.01.2024;</w:t>
      </w:r>
    </w:p>
    <w:p w14:paraId="00000075"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„ЕЛТЕХРЕСУРС“ АД</w:t>
      </w:r>
      <w:r>
        <w:rPr>
          <w:rFonts w:ascii="Palatino Linotype" w:eastAsia="Palatino Linotype" w:hAnsi="Palatino Linotype" w:cs="Palatino Linotype"/>
          <w:color w:val="000000"/>
        </w:rPr>
        <w:tab/>
        <w:t>- СОА19-ДГ56-859 / 28.08.2019 до 27.08.2024;</w:t>
      </w:r>
    </w:p>
    <w:p w14:paraId="00000076"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w:t>
      </w:r>
      <w:proofErr w:type="spellStart"/>
      <w:r>
        <w:rPr>
          <w:rFonts w:ascii="Palatino Linotype" w:eastAsia="Palatino Linotype" w:hAnsi="Palatino Linotype" w:cs="Palatino Linotype"/>
          <w:color w:val="000000"/>
        </w:rPr>
        <w:t>Тексайд</w:t>
      </w:r>
      <w:proofErr w:type="spellEnd"/>
      <w:r>
        <w:rPr>
          <w:rFonts w:ascii="Palatino Linotype" w:eastAsia="Palatino Linotype" w:hAnsi="Palatino Linotype" w:cs="Palatino Linotype"/>
          <w:color w:val="000000"/>
        </w:rPr>
        <w:t xml:space="preserve"> България" ЕООД - </w:t>
      </w:r>
      <w:r>
        <w:rPr>
          <w:rFonts w:ascii="Palatino Linotype" w:eastAsia="Palatino Linotype" w:hAnsi="Palatino Linotype" w:cs="Palatino Linotype"/>
          <w:color w:val="000000"/>
        </w:rPr>
        <w:tab/>
        <w:t>СОА1-ДГ56-511 / 09.05.2019 до 09.05.2022;</w:t>
      </w:r>
    </w:p>
    <w:p w14:paraId="00000077"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„СОФЕКОСТРОЙ“ ЕАД -СОА20-ДГ56-1283 / 28.10.2020 до 28.10.2025;</w:t>
      </w:r>
    </w:p>
    <w:p w14:paraId="00000078"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„ЕКОБУЛПАК БЪЛГАРИЯ“ АД - СОА20-ДГ56-1284 / 28.10.2020 до 28.10.2025;</w:t>
      </w:r>
    </w:p>
    <w:p w14:paraId="00000079"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„ЕКОБУЛПАК БЪЛГАРИЯ“ АД - СОА20-ДГ56-1290 / 30.10.2020</w:t>
      </w:r>
      <w:r>
        <w:rPr>
          <w:rFonts w:ascii="Palatino Linotype" w:eastAsia="Palatino Linotype" w:hAnsi="Palatino Linotype" w:cs="Palatino Linotype"/>
          <w:color w:val="000000"/>
        </w:rPr>
        <w:tab/>
        <w:t>до 30.10.2025;</w:t>
      </w:r>
    </w:p>
    <w:p w14:paraId="0000007A"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w:t>
      </w:r>
      <w:proofErr w:type="spellStart"/>
      <w:r>
        <w:rPr>
          <w:rFonts w:ascii="Palatino Linotype" w:eastAsia="Palatino Linotype" w:hAnsi="Palatino Linotype" w:cs="Palatino Linotype"/>
          <w:color w:val="000000"/>
        </w:rPr>
        <w:t>БалБок</w:t>
      </w:r>
      <w:proofErr w:type="spellEnd"/>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Инженеринг“АД</w:t>
      </w:r>
      <w:proofErr w:type="spellEnd"/>
      <w:r>
        <w:rPr>
          <w:rFonts w:ascii="Palatino Linotype" w:eastAsia="Palatino Linotype" w:hAnsi="Palatino Linotype" w:cs="Palatino Linotype"/>
          <w:color w:val="000000"/>
        </w:rPr>
        <w:t xml:space="preserve"> -СОА21-ДГ55-691 / 21.10.2021 до 20.10.2023;</w:t>
      </w:r>
    </w:p>
    <w:p w14:paraId="0000007B"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„ЕКОБАТЕРИ“ АД - СОА21-ДГ56-1246 / 18.06.2021до 18.06.2024;</w:t>
      </w:r>
    </w:p>
    <w:p w14:paraId="0000007C"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"ОЙЛ РЕЦИКЛЕЙШЪН" ЕООД -СОА21-ДГ56-5723 / 24.11.2021 до 24.11.2024;</w:t>
      </w:r>
    </w:p>
    <w:p w14:paraId="0000007D"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„ЕКОСТИЙЛ“ ЕООД - СО-РД-56-830 / 23.09.2014 до 23.09.2024;</w:t>
      </w:r>
    </w:p>
    <w:p w14:paraId="0000007E"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„НОРД ФЕРОИНДЪСТРИ“ ЕООД - СО-РД-56-831 / 23.09.2014 до</w:t>
      </w:r>
      <w:r>
        <w:rPr>
          <w:rFonts w:ascii="Palatino Linotype" w:eastAsia="Palatino Linotype" w:hAnsi="Palatino Linotype" w:cs="Palatino Linotype"/>
          <w:color w:val="000000"/>
        </w:rPr>
        <w:tab/>
        <w:t>23.09.2024;</w:t>
      </w:r>
    </w:p>
    <w:p w14:paraId="0000007F"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color w:val="000000"/>
        </w:rPr>
        <w:t>„ИНВЕСТРЕЦИКЛИНГ“ ЕООД - СО-РД-56-832 / 23.09.2014 до 23.09.2024;</w:t>
      </w:r>
    </w:p>
    <w:p w14:paraId="00000080" w14:textId="77777777" w:rsidR="00F138E7" w:rsidRDefault="004E53C2">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     </w:t>
      </w:r>
      <w:r>
        <w:rPr>
          <w:rFonts w:ascii="Palatino Linotype" w:eastAsia="Palatino Linotype" w:hAnsi="Palatino Linotype" w:cs="Palatino Linotype"/>
          <w:color w:val="000000"/>
        </w:rPr>
        <w:t>“ЕВРОТЕКС” ЕООД - СОА22-ДГ56-83/28.01.2022 до 28.01.2024.</w:t>
      </w:r>
    </w:p>
    <w:p w14:paraId="00000081" w14:textId="77777777" w:rsidR="00F138E7" w:rsidRDefault="00F138E7">
      <w:pPr>
        <w:tabs>
          <w:tab w:val="left" w:pos="284"/>
          <w:tab w:val="left" w:pos="516"/>
          <w:tab w:val="center" w:pos="4536"/>
        </w:tabs>
        <w:spacing w:line="276" w:lineRule="auto"/>
        <w:jc w:val="both"/>
        <w:rPr>
          <w:rFonts w:ascii="Palatino Linotype" w:eastAsia="Palatino Linotype" w:hAnsi="Palatino Linotype" w:cs="Palatino Linotype"/>
          <w:b/>
        </w:rPr>
      </w:pPr>
    </w:p>
    <w:p w14:paraId="00000082" w14:textId="77777777" w:rsidR="00F138E7" w:rsidRDefault="004E53C2">
      <w:pPr>
        <w:tabs>
          <w:tab w:val="left" w:pos="284"/>
          <w:tab w:val="left" w:pos="516"/>
          <w:tab w:val="center" w:pos="4536"/>
        </w:tabs>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lastRenderedPageBreak/>
        <w:t>Система за разделно събиране.</w:t>
      </w:r>
    </w:p>
    <w:p w14:paraId="00000083" w14:textId="77777777" w:rsidR="00F138E7" w:rsidRDefault="004E53C2">
      <w:pPr>
        <w:tabs>
          <w:tab w:val="left" w:pos="284"/>
          <w:tab w:val="left" w:pos="516"/>
          <w:tab w:val="center" w:pos="4536"/>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изпълнение на законовите си задължения Столична община е сключила договори с организации по оползотворяване на масово разпространени отпадъци</w:t>
      </w:r>
      <w:r>
        <w:rPr>
          <w:rFonts w:ascii="Palatino Linotype" w:eastAsia="Palatino Linotype" w:hAnsi="Palatino Linotype" w:cs="Palatino Linotype"/>
          <w:b/>
        </w:rPr>
        <w:t>, за организирана система за разделно събиране по райони, както следва:</w:t>
      </w:r>
    </w:p>
    <w:tbl>
      <w:tblPr>
        <w:tblStyle w:val="a5"/>
        <w:tblW w:w="9062" w:type="dxa"/>
        <w:tblBorders>
          <w:top w:val="single" w:sz="4" w:space="0" w:color="5B9BD5"/>
          <w:left w:val="single" w:sz="4" w:space="0" w:color="5B9BD5"/>
          <w:bottom w:val="single" w:sz="4" w:space="0" w:color="5B9BD5"/>
          <w:right w:val="single" w:sz="4" w:space="0" w:color="5B9BD5"/>
          <w:insideH w:val="single" w:sz="4" w:space="0" w:color="000000"/>
          <w:insideV w:val="single" w:sz="4" w:space="0" w:color="000000"/>
        </w:tblBorders>
        <w:tblLayout w:type="fixed"/>
        <w:tblLook w:val="0400" w:firstRow="0" w:lastRow="0" w:firstColumn="0" w:lastColumn="0" w:noHBand="0" w:noVBand="1"/>
      </w:tblPr>
      <w:tblGrid>
        <w:gridCol w:w="506"/>
        <w:gridCol w:w="3879"/>
        <w:gridCol w:w="2651"/>
        <w:gridCol w:w="2026"/>
      </w:tblGrid>
      <w:tr w:rsidR="00F138E7" w14:paraId="44F92257" w14:textId="77777777">
        <w:tc>
          <w:tcPr>
            <w:tcW w:w="506" w:type="dxa"/>
            <w:tcBorders>
              <w:top w:val="single" w:sz="4" w:space="0" w:color="000000"/>
              <w:left w:val="single" w:sz="4" w:space="0" w:color="000000"/>
              <w:bottom w:val="single" w:sz="4" w:space="0" w:color="000000"/>
              <w:right w:val="single" w:sz="4" w:space="0" w:color="000000"/>
            </w:tcBorders>
            <w:shd w:val="clear" w:color="auto" w:fill="ACB9CA"/>
          </w:tcPr>
          <w:p w14:paraId="00000084"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w:t>
            </w:r>
          </w:p>
        </w:tc>
        <w:tc>
          <w:tcPr>
            <w:tcW w:w="3879" w:type="dxa"/>
            <w:tcBorders>
              <w:top w:val="single" w:sz="4" w:space="0" w:color="000000"/>
              <w:left w:val="single" w:sz="4" w:space="0" w:color="000000"/>
              <w:bottom w:val="single" w:sz="4" w:space="0" w:color="000000"/>
              <w:right w:val="single" w:sz="4" w:space="0" w:color="000000"/>
            </w:tcBorders>
            <w:shd w:val="clear" w:color="auto" w:fill="ACB9CA"/>
          </w:tcPr>
          <w:p w14:paraId="00000085"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Вид на МРО</w:t>
            </w:r>
          </w:p>
        </w:tc>
        <w:tc>
          <w:tcPr>
            <w:tcW w:w="2651" w:type="dxa"/>
            <w:tcBorders>
              <w:top w:val="single" w:sz="4" w:space="0" w:color="000000"/>
              <w:left w:val="single" w:sz="4" w:space="0" w:color="000000"/>
              <w:bottom w:val="single" w:sz="4" w:space="0" w:color="000000"/>
              <w:right w:val="single" w:sz="4" w:space="0" w:color="000000"/>
            </w:tcBorders>
            <w:shd w:val="clear" w:color="auto" w:fill="ACB9CA"/>
          </w:tcPr>
          <w:p w14:paraId="00000086"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Районни администрации</w:t>
            </w:r>
          </w:p>
        </w:tc>
        <w:tc>
          <w:tcPr>
            <w:tcW w:w="2026" w:type="dxa"/>
            <w:tcBorders>
              <w:top w:val="single" w:sz="4" w:space="0" w:color="000000"/>
              <w:left w:val="single" w:sz="4" w:space="0" w:color="000000"/>
              <w:bottom w:val="single" w:sz="4" w:space="0" w:color="000000"/>
              <w:right w:val="single" w:sz="4" w:space="0" w:color="000000"/>
            </w:tcBorders>
            <w:shd w:val="clear" w:color="auto" w:fill="ACB9CA"/>
          </w:tcPr>
          <w:p w14:paraId="00000087"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 xml:space="preserve">Организация за МРО </w:t>
            </w:r>
          </w:p>
        </w:tc>
      </w:tr>
      <w:tr w:rsidR="00F138E7" w14:paraId="24A734AE" w14:textId="77777777">
        <w:tc>
          <w:tcPr>
            <w:tcW w:w="506" w:type="dxa"/>
            <w:vMerge w:val="restart"/>
            <w:tcBorders>
              <w:top w:val="single" w:sz="4" w:space="0" w:color="000000"/>
              <w:left w:val="single" w:sz="4" w:space="0" w:color="000000"/>
              <w:bottom w:val="single" w:sz="4" w:space="0" w:color="000000"/>
              <w:right w:val="single" w:sz="4" w:space="0" w:color="000000"/>
            </w:tcBorders>
          </w:tcPr>
          <w:p w14:paraId="00000088"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w:t>
            </w:r>
          </w:p>
        </w:tc>
        <w:tc>
          <w:tcPr>
            <w:tcW w:w="3879" w:type="dxa"/>
            <w:vMerge w:val="restart"/>
            <w:tcBorders>
              <w:top w:val="single" w:sz="4" w:space="0" w:color="000000"/>
              <w:left w:val="single" w:sz="4" w:space="0" w:color="000000"/>
              <w:bottom w:val="single" w:sz="4" w:space="0" w:color="000000"/>
              <w:right w:val="single" w:sz="4" w:space="0" w:color="000000"/>
            </w:tcBorders>
          </w:tcPr>
          <w:p w14:paraId="00000089"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Отпадъци от електрическо и електронно оборудване (ИУЕЕО)</w:t>
            </w:r>
          </w:p>
        </w:tc>
        <w:tc>
          <w:tcPr>
            <w:tcW w:w="2651" w:type="dxa"/>
            <w:tcBorders>
              <w:top w:val="single" w:sz="4" w:space="0" w:color="000000"/>
              <w:left w:val="single" w:sz="4" w:space="0" w:color="000000"/>
              <w:bottom w:val="single" w:sz="4" w:space="0" w:color="000000"/>
              <w:right w:val="single" w:sz="4" w:space="0" w:color="000000"/>
            </w:tcBorders>
          </w:tcPr>
          <w:p w14:paraId="0000008A"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Банкя, Витоша, Връбница, Възраждане, Изгрев, Илинден, Искър, Красно село, Кремиковци, Лозенец, Люлин, Младост, Надежда, Нови Искър, Оборище, Панчарево, Подуяне, Сердика, Слатина, Средец, Студентски, Триадица</w:t>
            </w:r>
          </w:p>
        </w:tc>
        <w:tc>
          <w:tcPr>
            <w:tcW w:w="2026" w:type="dxa"/>
            <w:tcBorders>
              <w:top w:val="single" w:sz="4" w:space="0" w:color="000000"/>
              <w:left w:val="single" w:sz="4" w:space="0" w:color="000000"/>
              <w:bottom w:val="single" w:sz="4" w:space="0" w:color="000000"/>
              <w:right w:val="single" w:sz="4" w:space="0" w:color="000000"/>
            </w:tcBorders>
          </w:tcPr>
          <w:p w14:paraId="0000008B"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proofErr w:type="spellStart"/>
            <w:r>
              <w:rPr>
                <w:rFonts w:ascii="Palatino Linotype" w:eastAsia="Palatino Linotype" w:hAnsi="Palatino Linotype" w:cs="Palatino Linotype"/>
                <w:color w:val="000000"/>
                <w:sz w:val="18"/>
                <w:szCs w:val="18"/>
              </w:rPr>
              <w:t>Елтехресурс</w:t>
            </w:r>
            <w:proofErr w:type="spellEnd"/>
            <w:r>
              <w:rPr>
                <w:rFonts w:ascii="Palatino Linotype" w:eastAsia="Palatino Linotype" w:hAnsi="Palatino Linotype" w:cs="Palatino Linotype"/>
                <w:color w:val="000000"/>
                <w:sz w:val="18"/>
                <w:szCs w:val="18"/>
              </w:rPr>
              <w:t xml:space="preserve"> АД</w:t>
            </w:r>
          </w:p>
        </w:tc>
      </w:tr>
      <w:tr w:rsidR="00F138E7" w14:paraId="3D9CBF38" w14:textId="77777777">
        <w:tc>
          <w:tcPr>
            <w:tcW w:w="506" w:type="dxa"/>
            <w:vMerge/>
            <w:tcBorders>
              <w:top w:val="single" w:sz="4" w:space="0" w:color="000000"/>
              <w:left w:val="single" w:sz="4" w:space="0" w:color="000000"/>
              <w:bottom w:val="single" w:sz="4" w:space="0" w:color="000000"/>
              <w:right w:val="single" w:sz="4" w:space="0" w:color="000000"/>
            </w:tcBorders>
          </w:tcPr>
          <w:p w14:paraId="0000008C" w14:textId="77777777" w:rsidR="00F138E7" w:rsidRDefault="00F138E7">
            <w:pPr>
              <w:widowControl w:val="0"/>
              <w:pBdr>
                <w:top w:val="nil"/>
                <w:left w:val="nil"/>
                <w:bottom w:val="nil"/>
                <w:right w:val="nil"/>
                <w:between w:val="nil"/>
              </w:pBdr>
              <w:spacing w:line="276" w:lineRule="auto"/>
              <w:rPr>
                <w:rFonts w:ascii="Palatino Linotype" w:eastAsia="Palatino Linotype" w:hAnsi="Palatino Linotype" w:cs="Palatino Linotype"/>
                <w:color w:val="000000"/>
                <w:sz w:val="18"/>
                <w:szCs w:val="18"/>
              </w:rPr>
            </w:pPr>
          </w:p>
        </w:tc>
        <w:tc>
          <w:tcPr>
            <w:tcW w:w="3879" w:type="dxa"/>
            <w:vMerge/>
            <w:tcBorders>
              <w:top w:val="single" w:sz="4" w:space="0" w:color="000000"/>
              <w:left w:val="single" w:sz="4" w:space="0" w:color="000000"/>
              <w:bottom w:val="single" w:sz="4" w:space="0" w:color="000000"/>
              <w:right w:val="single" w:sz="4" w:space="0" w:color="000000"/>
            </w:tcBorders>
          </w:tcPr>
          <w:p w14:paraId="0000008D" w14:textId="77777777" w:rsidR="00F138E7" w:rsidRDefault="00F138E7">
            <w:pPr>
              <w:widowControl w:val="0"/>
              <w:pBdr>
                <w:top w:val="nil"/>
                <w:left w:val="nil"/>
                <w:bottom w:val="nil"/>
                <w:right w:val="nil"/>
                <w:between w:val="nil"/>
              </w:pBdr>
              <w:spacing w:line="276" w:lineRule="auto"/>
              <w:rPr>
                <w:rFonts w:ascii="Palatino Linotype" w:eastAsia="Palatino Linotype" w:hAnsi="Palatino Linotype" w:cs="Palatino Linotype"/>
                <w:color w:val="000000"/>
                <w:sz w:val="18"/>
                <w:szCs w:val="18"/>
              </w:rPr>
            </w:pPr>
          </w:p>
        </w:tc>
        <w:tc>
          <w:tcPr>
            <w:tcW w:w="2651" w:type="dxa"/>
            <w:tcBorders>
              <w:top w:val="single" w:sz="4" w:space="0" w:color="000000"/>
              <w:left w:val="single" w:sz="4" w:space="0" w:color="000000"/>
              <w:bottom w:val="single" w:sz="4" w:space="0" w:color="000000"/>
              <w:right w:val="single" w:sz="4" w:space="0" w:color="000000"/>
            </w:tcBorders>
          </w:tcPr>
          <w:p w14:paraId="0000008E"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Овча купел, Красна поляна</w:t>
            </w:r>
          </w:p>
        </w:tc>
        <w:tc>
          <w:tcPr>
            <w:tcW w:w="2026" w:type="dxa"/>
            <w:tcBorders>
              <w:top w:val="single" w:sz="4" w:space="0" w:color="000000"/>
              <w:left w:val="single" w:sz="4" w:space="0" w:color="000000"/>
              <w:bottom w:val="single" w:sz="4" w:space="0" w:color="000000"/>
              <w:right w:val="single" w:sz="4" w:space="0" w:color="000000"/>
            </w:tcBorders>
          </w:tcPr>
          <w:p w14:paraId="0000008F"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proofErr w:type="spellStart"/>
            <w:r>
              <w:rPr>
                <w:rFonts w:ascii="Palatino Linotype" w:eastAsia="Palatino Linotype" w:hAnsi="Palatino Linotype" w:cs="Palatino Linotype"/>
                <w:color w:val="000000"/>
                <w:sz w:val="18"/>
                <w:szCs w:val="18"/>
              </w:rPr>
              <w:t>Екобултех</w:t>
            </w:r>
            <w:proofErr w:type="spellEnd"/>
            <w:r>
              <w:rPr>
                <w:rFonts w:ascii="Palatino Linotype" w:eastAsia="Palatino Linotype" w:hAnsi="Palatino Linotype" w:cs="Palatino Linotype"/>
                <w:color w:val="000000"/>
                <w:sz w:val="18"/>
                <w:szCs w:val="18"/>
              </w:rPr>
              <w:t xml:space="preserve">  АД</w:t>
            </w:r>
          </w:p>
        </w:tc>
      </w:tr>
      <w:tr w:rsidR="00F138E7" w14:paraId="4160902D" w14:textId="77777777">
        <w:tc>
          <w:tcPr>
            <w:tcW w:w="506" w:type="dxa"/>
            <w:tcBorders>
              <w:top w:val="single" w:sz="4" w:space="0" w:color="000000"/>
              <w:left w:val="single" w:sz="4" w:space="0" w:color="000000"/>
              <w:bottom w:val="single" w:sz="4" w:space="0" w:color="000000"/>
              <w:right w:val="single" w:sz="4" w:space="0" w:color="000000"/>
            </w:tcBorders>
          </w:tcPr>
          <w:p w14:paraId="00000090"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w:t>
            </w:r>
          </w:p>
        </w:tc>
        <w:tc>
          <w:tcPr>
            <w:tcW w:w="3879" w:type="dxa"/>
            <w:tcBorders>
              <w:top w:val="single" w:sz="4" w:space="0" w:color="000000"/>
              <w:left w:val="single" w:sz="4" w:space="0" w:color="000000"/>
              <w:bottom w:val="single" w:sz="4" w:space="0" w:color="000000"/>
              <w:right w:val="single" w:sz="4" w:space="0" w:color="000000"/>
            </w:tcBorders>
          </w:tcPr>
          <w:p w14:paraId="00000091"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Отпадъци от батерии и акумулатори (НУБА)</w:t>
            </w:r>
          </w:p>
        </w:tc>
        <w:tc>
          <w:tcPr>
            <w:tcW w:w="2651" w:type="dxa"/>
            <w:tcBorders>
              <w:top w:val="single" w:sz="4" w:space="0" w:color="000000"/>
              <w:left w:val="single" w:sz="4" w:space="0" w:color="000000"/>
              <w:bottom w:val="single" w:sz="4" w:space="0" w:color="000000"/>
              <w:right w:val="single" w:sz="4" w:space="0" w:color="000000"/>
            </w:tcBorders>
          </w:tcPr>
          <w:p w14:paraId="00000092"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Банкя, Витоша, Връбница, Възраждане, Изгрев, Илинден, Искър, Красно село, Кремиковци, Лозенец, Люлин, Младост, Надежда, Нови Искър, Оборище, Панчарево, Подуяне, Сердика, Слатина, Средец, Студентски, Триадица, Овча купел, Красна поляна</w:t>
            </w:r>
          </w:p>
        </w:tc>
        <w:tc>
          <w:tcPr>
            <w:tcW w:w="2026" w:type="dxa"/>
            <w:tcBorders>
              <w:top w:val="single" w:sz="4" w:space="0" w:color="000000"/>
              <w:left w:val="single" w:sz="4" w:space="0" w:color="000000"/>
              <w:bottom w:val="single" w:sz="4" w:space="0" w:color="000000"/>
              <w:right w:val="single" w:sz="4" w:space="0" w:color="000000"/>
            </w:tcBorders>
          </w:tcPr>
          <w:p w14:paraId="00000093"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proofErr w:type="spellStart"/>
            <w:r>
              <w:rPr>
                <w:rFonts w:ascii="Palatino Linotype" w:eastAsia="Palatino Linotype" w:hAnsi="Palatino Linotype" w:cs="Palatino Linotype"/>
                <w:color w:val="000000"/>
                <w:sz w:val="18"/>
                <w:szCs w:val="18"/>
              </w:rPr>
              <w:t>Екобатери</w:t>
            </w:r>
            <w:proofErr w:type="spellEnd"/>
            <w:r>
              <w:rPr>
                <w:rFonts w:ascii="Palatino Linotype" w:eastAsia="Palatino Linotype" w:hAnsi="Palatino Linotype" w:cs="Palatino Linotype"/>
                <w:color w:val="000000"/>
                <w:sz w:val="18"/>
                <w:szCs w:val="18"/>
              </w:rPr>
              <w:t xml:space="preserve"> АД</w:t>
            </w:r>
          </w:p>
        </w:tc>
      </w:tr>
      <w:tr w:rsidR="00F138E7" w14:paraId="3087D71B" w14:textId="77777777">
        <w:tc>
          <w:tcPr>
            <w:tcW w:w="506" w:type="dxa"/>
            <w:tcBorders>
              <w:top w:val="single" w:sz="4" w:space="0" w:color="000000"/>
              <w:left w:val="single" w:sz="4" w:space="0" w:color="000000"/>
              <w:bottom w:val="single" w:sz="4" w:space="0" w:color="000000"/>
              <w:right w:val="single" w:sz="4" w:space="0" w:color="000000"/>
            </w:tcBorders>
          </w:tcPr>
          <w:p w14:paraId="00000094"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w:t>
            </w:r>
          </w:p>
        </w:tc>
        <w:tc>
          <w:tcPr>
            <w:tcW w:w="3879" w:type="dxa"/>
            <w:tcBorders>
              <w:top w:val="single" w:sz="4" w:space="0" w:color="000000"/>
              <w:left w:val="single" w:sz="4" w:space="0" w:color="000000"/>
              <w:bottom w:val="single" w:sz="4" w:space="0" w:color="000000"/>
              <w:right w:val="single" w:sz="4" w:space="0" w:color="000000"/>
            </w:tcBorders>
          </w:tcPr>
          <w:p w14:paraId="00000095"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Излезли от употреба гуми (ИУГ)</w:t>
            </w:r>
          </w:p>
        </w:tc>
        <w:tc>
          <w:tcPr>
            <w:tcW w:w="2651" w:type="dxa"/>
            <w:tcBorders>
              <w:top w:val="single" w:sz="4" w:space="0" w:color="000000"/>
              <w:left w:val="single" w:sz="4" w:space="0" w:color="000000"/>
              <w:bottom w:val="single" w:sz="4" w:space="0" w:color="000000"/>
              <w:right w:val="single" w:sz="4" w:space="0" w:color="000000"/>
            </w:tcBorders>
          </w:tcPr>
          <w:p w14:paraId="00000096"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Няма сключен договор </w:t>
            </w:r>
          </w:p>
        </w:tc>
        <w:tc>
          <w:tcPr>
            <w:tcW w:w="2026" w:type="dxa"/>
            <w:tcBorders>
              <w:top w:val="single" w:sz="4" w:space="0" w:color="000000"/>
              <w:left w:val="single" w:sz="4" w:space="0" w:color="000000"/>
              <w:bottom w:val="single" w:sz="4" w:space="0" w:color="000000"/>
              <w:right w:val="single" w:sz="4" w:space="0" w:color="000000"/>
            </w:tcBorders>
          </w:tcPr>
          <w:p w14:paraId="00000097"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w:t>
            </w:r>
          </w:p>
        </w:tc>
      </w:tr>
      <w:tr w:rsidR="00F138E7" w14:paraId="6653E898" w14:textId="77777777">
        <w:tc>
          <w:tcPr>
            <w:tcW w:w="506" w:type="dxa"/>
            <w:tcBorders>
              <w:top w:val="single" w:sz="4" w:space="0" w:color="000000"/>
              <w:left w:val="single" w:sz="4" w:space="0" w:color="000000"/>
              <w:bottom w:val="single" w:sz="4" w:space="0" w:color="000000"/>
              <w:right w:val="single" w:sz="4" w:space="0" w:color="000000"/>
            </w:tcBorders>
          </w:tcPr>
          <w:p w14:paraId="00000098"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w:t>
            </w:r>
          </w:p>
        </w:tc>
        <w:tc>
          <w:tcPr>
            <w:tcW w:w="3879" w:type="dxa"/>
            <w:tcBorders>
              <w:top w:val="single" w:sz="4" w:space="0" w:color="000000"/>
              <w:left w:val="single" w:sz="4" w:space="0" w:color="000000"/>
              <w:bottom w:val="single" w:sz="4" w:space="0" w:color="000000"/>
              <w:right w:val="single" w:sz="4" w:space="0" w:color="000000"/>
            </w:tcBorders>
          </w:tcPr>
          <w:p w14:paraId="00000099"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Излезли от употреба моторни превозни средства (ИУМПС)</w:t>
            </w:r>
          </w:p>
        </w:tc>
        <w:tc>
          <w:tcPr>
            <w:tcW w:w="2651" w:type="dxa"/>
            <w:tcBorders>
              <w:top w:val="single" w:sz="4" w:space="0" w:color="000000"/>
              <w:left w:val="single" w:sz="4" w:space="0" w:color="000000"/>
              <w:bottom w:val="single" w:sz="4" w:space="0" w:color="000000"/>
              <w:right w:val="single" w:sz="4" w:space="0" w:color="000000"/>
            </w:tcBorders>
          </w:tcPr>
          <w:p w14:paraId="0000009A"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Банкя, Витоша, Връбница, Възраждане, Изгрев, Илинден, Искър, Красно село, Кремиковци, Лозенец, Люлин, Младост, Надежда, Нови Искър, Оборище, Панчарево, Подуяне, Сердика, Слатина, Средец, Студентски, Триадица, Овча купел, Красна поляна</w:t>
            </w:r>
          </w:p>
        </w:tc>
        <w:tc>
          <w:tcPr>
            <w:tcW w:w="2026" w:type="dxa"/>
            <w:tcBorders>
              <w:top w:val="single" w:sz="4" w:space="0" w:color="000000"/>
              <w:left w:val="single" w:sz="4" w:space="0" w:color="000000"/>
              <w:bottom w:val="single" w:sz="4" w:space="0" w:color="000000"/>
              <w:right w:val="single" w:sz="4" w:space="0" w:color="000000"/>
            </w:tcBorders>
          </w:tcPr>
          <w:p w14:paraId="0000009B"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Българска Рециклираща Компания АД</w:t>
            </w:r>
          </w:p>
        </w:tc>
      </w:tr>
      <w:tr w:rsidR="00F138E7" w14:paraId="3C0EFB7E" w14:textId="77777777">
        <w:trPr>
          <w:trHeight w:val="70"/>
        </w:trPr>
        <w:tc>
          <w:tcPr>
            <w:tcW w:w="506" w:type="dxa"/>
            <w:tcBorders>
              <w:top w:val="single" w:sz="4" w:space="0" w:color="000000"/>
              <w:left w:val="single" w:sz="4" w:space="0" w:color="000000"/>
              <w:bottom w:val="single" w:sz="4" w:space="0" w:color="000000"/>
              <w:right w:val="single" w:sz="4" w:space="0" w:color="000000"/>
            </w:tcBorders>
          </w:tcPr>
          <w:p w14:paraId="0000009C"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5</w:t>
            </w:r>
          </w:p>
        </w:tc>
        <w:tc>
          <w:tcPr>
            <w:tcW w:w="3879" w:type="dxa"/>
            <w:tcBorders>
              <w:top w:val="single" w:sz="4" w:space="0" w:color="000000"/>
              <w:left w:val="single" w:sz="4" w:space="0" w:color="000000"/>
              <w:bottom w:val="single" w:sz="4" w:space="0" w:color="000000"/>
              <w:right w:val="single" w:sz="4" w:space="0" w:color="000000"/>
            </w:tcBorders>
          </w:tcPr>
          <w:p w14:paraId="0000009D"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Отработени моторни масла (ОММ)</w:t>
            </w:r>
          </w:p>
        </w:tc>
        <w:tc>
          <w:tcPr>
            <w:tcW w:w="2651" w:type="dxa"/>
            <w:tcBorders>
              <w:top w:val="single" w:sz="4" w:space="0" w:color="000000"/>
              <w:left w:val="single" w:sz="4" w:space="0" w:color="000000"/>
              <w:bottom w:val="single" w:sz="4" w:space="0" w:color="000000"/>
              <w:right w:val="single" w:sz="4" w:space="0" w:color="000000"/>
            </w:tcBorders>
          </w:tcPr>
          <w:p w14:paraId="0000009E"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Банкя, Витоша, Връбница, Възраждане, Изгрев, Илинден, Искър, Красно село, Кремиковци, Лозенец, Люлин, Младост, Надежда, </w:t>
            </w:r>
            <w:r>
              <w:rPr>
                <w:rFonts w:ascii="Palatino Linotype" w:eastAsia="Palatino Linotype" w:hAnsi="Palatino Linotype" w:cs="Palatino Linotype"/>
                <w:color w:val="000000"/>
                <w:sz w:val="18"/>
                <w:szCs w:val="18"/>
              </w:rPr>
              <w:lastRenderedPageBreak/>
              <w:t>Нови Искър, Оборище, Панчарево, Подуяне, Сердика, Слатина, Средец, Студентски, Триадица, Овча купел, Красна поляна</w:t>
            </w:r>
          </w:p>
        </w:tc>
        <w:tc>
          <w:tcPr>
            <w:tcW w:w="2026" w:type="dxa"/>
            <w:tcBorders>
              <w:top w:val="single" w:sz="4" w:space="0" w:color="000000"/>
              <w:left w:val="single" w:sz="4" w:space="0" w:color="000000"/>
              <w:bottom w:val="single" w:sz="4" w:space="0" w:color="000000"/>
              <w:right w:val="single" w:sz="4" w:space="0" w:color="000000"/>
            </w:tcBorders>
          </w:tcPr>
          <w:p w14:paraId="0000009F" w14:textId="77777777" w:rsidR="00F138E7" w:rsidRDefault="004E53C2">
            <w:pPr>
              <w:pBdr>
                <w:top w:val="nil"/>
                <w:left w:val="nil"/>
                <w:bottom w:val="nil"/>
                <w:right w:val="nil"/>
                <w:between w:val="nil"/>
              </w:pBdr>
              <w:tabs>
                <w:tab w:val="left" w:pos="284"/>
              </w:tabs>
              <w:spacing w:after="16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lastRenderedPageBreak/>
              <w:t xml:space="preserve">Ойл </w:t>
            </w:r>
            <w:proofErr w:type="spellStart"/>
            <w:r>
              <w:rPr>
                <w:rFonts w:ascii="Palatino Linotype" w:eastAsia="Palatino Linotype" w:hAnsi="Palatino Linotype" w:cs="Palatino Linotype"/>
                <w:color w:val="000000"/>
                <w:sz w:val="18"/>
                <w:szCs w:val="18"/>
              </w:rPr>
              <w:t>Рециклейшън</w:t>
            </w:r>
            <w:proofErr w:type="spellEnd"/>
            <w:r>
              <w:rPr>
                <w:rFonts w:ascii="Palatino Linotype" w:eastAsia="Palatino Linotype" w:hAnsi="Palatino Linotype" w:cs="Palatino Linotype"/>
                <w:color w:val="000000"/>
                <w:sz w:val="18"/>
                <w:szCs w:val="18"/>
              </w:rPr>
              <w:t xml:space="preserve"> ЕООД </w:t>
            </w:r>
          </w:p>
        </w:tc>
      </w:tr>
    </w:tbl>
    <w:p w14:paraId="000000A0" w14:textId="77777777" w:rsidR="00F138E7" w:rsidRDefault="00F138E7">
      <w:pPr>
        <w:spacing w:line="276" w:lineRule="auto"/>
        <w:jc w:val="both"/>
        <w:rPr>
          <w:rFonts w:ascii="Palatino Linotype" w:eastAsia="Palatino Linotype" w:hAnsi="Palatino Linotype" w:cs="Palatino Linotype"/>
        </w:rPr>
      </w:pPr>
    </w:p>
    <w:p w14:paraId="000000A1" w14:textId="77777777" w:rsidR="00F138E7" w:rsidRDefault="004E53C2">
      <w:pPr>
        <w:rPr>
          <w:rFonts w:ascii="Palatino Linotype" w:eastAsia="Palatino Linotype" w:hAnsi="Palatino Linotype" w:cs="Palatino Linotype"/>
          <w:b/>
          <w:u w:val="single"/>
        </w:rPr>
      </w:pPr>
      <w:r>
        <w:rPr>
          <w:rFonts w:ascii="Palatino Linotype" w:eastAsia="Palatino Linotype" w:hAnsi="Palatino Linotype" w:cs="Palatino Linotype"/>
          <w:b/>
          <w:u w:val="single"/>
        </w:rPr>
        <w:t>Отпадъци от опаковки – хартия и картон, метали, пластмаси и стъкло</w:t>
      </w:r>
    </w:p>
    <w:p w14:paraId="000000A2"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има сключени договори с три организации по оползотворяване на отпадъци от опаковки за организиране и обслужване на системата за разделно събиране на отпадъци от опаковки на територията на Столична община:  „</w:t>
      </w:r>
      <w:proofErr w:type="spellStart"/>
      <w:r>
        <w:rPr>
          <w:rFonts w:ascii="Palatino Linotype" w:eastAsia="Palatino Linotype" w:hAnsi="Palatino Linotype" w:cs="Palatino Linotype"/>
        </w:rPr>
        <w:t>Екобулпак</w:t>
      </w:r>
      <w:proofErr w:type="spellEnd"/>
      <w:r>
        <w:rPr>
          <w:rFonts w:ascii="Palatino Linotype" w:eastAsia="Palatino Linotype" w:hAnsi="Palatino Linotype" w:cs="Palatino Linotype"/>
        </w:rPr>
        <w:t xml:space="preserve"> България“ АД.</w:t>
      </w:r>
    </w:p>
    <w:p w14:paraId="000000A3"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Точките са разположени на подходящи места по улиците за обхващане на съответния </w:t>
      </w:r>
      <w:r>
        <w:rPr>
          <w:rFonts w:ascii="Palatino Linotype" w:eastAsia="Palatino Linotype" w:hAnsi="Palatino Linotype" w:cs="Palatino Linotype"/>
          <w:b/>
        </w:rPr>
        <w:t>брой жители регистрирани по настоящ адрес в 24-те района на Столична община</w:t>
      </w:r>
      <w:r>
        <w:rPr>
          <w:rFonts w:ascii="Palatino Linotype" w:eastAsia="Palatino Linotype" w:hAnsi="Palatino Linotype" w:cs="Palatino Linotype"/>
        </w:rPr>
        <w:t>. Обслужването на офиси, административни сгради, регистрирани етажни собствености, и други генератори на опаковки се извършва с контейнери и/или с чували след подадена заявка до организацията, обслужваща съответния район.</w:t>
      </w:r>
    </w:p>
    <w:p w14:paraId="000000A4" w14:textId="77777777" w:rsidR="00F138E7" w:rsidRDefault="004E53C2">
      <w:pPr>
        <w:shd w:val="clear" w:color="auto" w:fill="FFFFFF"/>
        <w:spacing w:line="276" w:lineRule="auto"/>
        <w:jc w:val="both"/>
        <w:rPr>
          <w:rFonts w:ascii="Palatino Linotype" w:eastAsia="Palatino Linotype" w:hAnsi="Palatino Linotype" w:cs="Palatino Linotype"/>
        </w:rPr>
      </w:pPr>
      <w:bookmarkStart w:id="3" w:name="_heading=h.2et92p0" w:colFirst="0" w:colLast="0"/>
      <w:bookmarkEnd w:id="3"/>
      <w:r>
        <w:rPr>
          <w:rFonts w:ascii="Palatino Linotype" w:eastAsia="Palatino Linotype" w:hAnsi="Palatino Linotype" w:cs="Palatino Linotype"/>
        </w:rPr>
        <w:t xml:space="preserve">Търговските обекти, генератори на отпадъци от опаковки са задължени да събират разделно отпадъците, които се образуват в резултат на осъществяваната от тях дейност, но имат възможност да избират начина на предаването им. Задълженията им са разписани в чл. 21, ал. 2 от Наредбата за управление на отпадъците и поддържане и опазване на чистотата на територията на Столична община. </w:t>
      </w:r>
    </w:p>
    <w:p w14:paraId="000000A5" w14:textId="77777777" w:rsidR="00F138E7" w:rsidRDefault="004E53C2">
      <w:pPr>
        <w:numPr>
          <w:ilvl w:val="0"/>
          <w:numId w:val="14"/>
        </w:numPr>
        <w:pBdr>
          <w:top w:val="nil"/>
          <w:left w:val="nil"/>
          <w:bottom w:val="nil"/>
          <w:right w:val="nil"/>
          <w:between w:val="nil"/>
        </w:pBdr>
        <w:shd w:val="clear" w:color="auto" w:fill="FFFFFF"/>
        <w:spacing w:after="0" w:line="276" w:lineRule="auto"/>
        <w:rPr>
          <w:rFonts w:ascii="Palatino Linotype" w:eastAsia="Palatino Linotype" w:hAnsi="Palatino Linotype" w:cs="Palatino Linotype"/>
          <w:color w:val="000000"/>
        </w:rPr>
      </w:pPr>
      <w:r>
        <w:rPr>
          <w:rFonts w:ascii="Palatino Linotype" w:eastAsia="Palatino Linotype" w:hAnsi="Palatino Linotype" w:cs="Palatino Linotype"/>
          <w:color w:val="000000"/>
        </w:rPr>
        <w:t>Модел „От врата на врата“</w:t>
      </w:r>
    </w:p>
    <w:p w14:paraId="000000A6" w14:textId="77777777" w:rsidR="00F138E7" w:rsidRDefault="004E53C2">
      <w:pPr>
        <w:shd w:val="clear" w:color="auto" w:fill="FFFFFF"/>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Прилага се в крайградските жилищни зони в районите: „Овча купел“, „Кремиковци“ и „Банкя“. На всяко желаещо домакинство се предоставят контейнери и/или чували – жълти, сини и зелени за разделно събиране на отпадъци от домакинствата.</w:t>
      </w:r>
    </w:p>
    <w:p w14:paraId="000000A7" w14:textId="77777777" w:rsidR="00F138E7" w:rsidRDefault="004E53C2">
      <w:pPr>
        <w:shd w:val="clear" w:color="auto" w:fill="FFFFFF"/>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w:t>
      </w:r>
      <w:proofErr w:type="spellStart"/>
      <w:r>
        <w:rPr>
          <w:rFonts w:ascii="Palatino Linotype" w:eastAsia="Palatino Linotype" w:hAnsi="Palatino Linotype" w:cs="Palatino Linotype"/>
        </w:rPr>
        <w:t>Екопак</w:t>
      </w:r>
      <w:proofErr w:type="spellEnd"/>
      <w:r>
        <w:rPr>
          <w:rFonts w:ascii="Palatino Linotype" w:eastAsia="Palatino Linotype" w:hAnsi="Palatino Linotype" w:cs="Palatino Linotype"/>
        </w:rPr>
        <w:t xml:space="preserve"> </w:t>
      </w:r>
      <w:proofErr w:type="spellStart"/>
      <w:r>
        <w:rPr>
          <w:rFonts w:ascii="Palatino Linotype" w:eastAsia="Palatino Linotype" w:hAnsi="Palatino Linotype" w:cs="Palatino Linotype"/>
        </w:rPr>
        <w:t>България“АД</w:t>
      </w:r>
      <w:proofErr w:type="spellEnd"/>
      <w:r>
        <w:rPr>
          <w:rFonts w:ascii="Palatino Linotype" w:eastAsia="Palatino Linotype" w:hAnsi="Palatino Linotype" w:cs="Palatino Linotype"/>
        </w:rPr>
        <w:t xml:space="preserve"> обслужва обекти от административни и обществени сгради, заведения за обществено хранене, търговски обекти  и обекти за отдих, забавления и туризъм, като за 2018 г. има събрани – хартия и картон (15 01 01) 402,765 тона; пластмаса (15 01 02) – 437,671 тона и стъкло (15 01 07) – 446,824 тона; 2019 г. събрани  хартия и картон – 473,715 тона; пластмаса – 588,964 тона и стъкло – 624,961 тона и за 2020 г. събрани –хартия 521,948 тона; пластмаса – 547,183 тона, стъкло – 578,069 тона и метали – 0,400 тона </w:t>
      </w:r>
    </w:p>
    <w:p w14:paraId="000000A8" w14:textId="77777777" w:rsidR="00F138E7" w:rsidRDefault="004E53C2">
      <w:pPr>
        <w:shd w:val="clear" w:color="auto" w:fill="FFFFFF"/>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w:t>
      </w:r>
      <w:proofErr w:type="spellStart"/>
      <w:r>
        <w:rPr>
          <w:rFonts w:ascii="Palatino Linotype" w:eastAsia="Palatino Linotype" w:hAnsi="Palatino Linotype" w:cs="Palatino Linotype"/>
        </w:rPr>
        <w:t>Екобулпак</w:t>
      </w:r>
      <w:proofErr w:type="spellEnd"/>
      <w:r>
        <w:rPr>
          <w:rFonts w:ascii="Palatino Linotype" w:eastAsia="Palatino Linotype" w:hAnsi="Palatino Linotype" w:cs="Palatino Linotype"/>
        </w:rPr>
        <w:t xml:space="preserve"> </w:t>
      </w:r>
      <w:proofErr w:type="spellStart"/>
      <w:r>
        <w:rPr>
          <w:rFonts w:ascii="Palatino Linotype" w:eastAsia="Palatino Linotype" w:hAnsi="Palatino Linotype" w:cs="Palatino Linotype"/>
        </w:rPr>
        <w:t>България“АД</w:t>
      </w:r>
      <w:proofErr w:type="spellEnd"/>
      <w:r>
        <w:rPr>
          <w:rFonts w:ascii="Palatino Linotype" w:eastAsia="Palatino Linotype" w:hAnsi="Palatino Linotype" w:cs="Palatino Linotype"/>
        </w:rPr>
        <w:t xml:space="preserve"> от обслужване на сгради имат събрани за 2018 г. – смесен отпадък (15 01 06) – 13,380 тона и стъкло (15 01 07) – 7,120 тона; 2019 г. - смесен отпадък (15 01 06) – 14,480 тона и стъкло (15 01 07) – 14,360 тона; 2020 г. – смесен отпадък (15 01 06) – 13,920 тона и стъкло (15 01 07) – 10,600 </w:t>
      </w:r>
    </w:p>
    <w:p w14:paraId="000000A9" w14:textId="77777777" w:rsidR="00F138E7" w:rsidRDefault="004E53C2">
      <w:pPr>
        <w:shd w:val="clear" w:color="auto" w:fill="FFFFFF"/>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w:t>
      </w:r>
      <w:proofErr w:type="spellStart"/>
      <w:r>
        <w:rPr>
          <w:rFonts w:ascii="Palatino Linotype" w:eastAsia="Palatino Linotype" w:hAnsi="Palatino Linotype" w:cs="Palatino Linotype"/>
        </w:rPr>
        <w:t>Булекопак</w:t>
      </w:r>
      <w:proofErr w:type="spellEnd"/>
      <w:r>
        <w:rPr>
          <w:rFonts w:ascii="Palatino Linotype" w:eastAsia="Palatino Linotype" w:hAnsi="Palatino Linotype" w:cs="Palatino Linotype"/>
        </w:rPr>
        <w:t xml:space="preserve"> </w:t>
      </w:r>
      <w:proofErr w:type="spellStart"/>
      <w:r>
        <w:rPr>
          <w:rFonts w:ascii="Palatino Linotype" w:eastAsia="Palatino Linotype" w:hAnsi="Palatino Linotype" w:cs="Palatino Linotype"/>
        </w:rPr>
        <w:t>България“АД</w:t>
      </w:r>
      <w:proofErr w:type="spellEnd"/>
      <w:r>
        <w:rPr>
          <w:rFonts w:ascii="Palatino Linotype" w:eastAsia="Palatino Linotype" w:hAnsi="Palatino Linotype" w:cs="Palatino Linotype"/>
        </w:rPr>
        <w:t xml:space="preserve"> и „</w:t>
      </w:r>
      <w:proofErr w:type="spellStart"/>
      <w:r>
        <w:rPr>
          <w:rFonts w:ascii="Palatino Linotype" w:eastAsia="Palatino Linotype" w:hAnsi="Palatino Linotype" w:cs="Palatino Linotype"/>
        </w:rPr>
        <w:t>Екобулпак</w:t>
      </w:r>
      <w:proofErr w:type="spellEnd"/>
      <w:r>
        <w:rPr>
          <w:rFonts w:ascii="Palatino Linotype" w:eastAsia="Palatino Linotype" w:hAnsi="Palatino Linotype" w:cs="Palatino Linotype"/>
        </w:rPr>
        <w:t xml:space="preserve"> България“ АД имат двуконтейнерна система за разделно събиране на отпадъци от домакинствата на територията на Столична община. Контейнерите за хартия, пластмаса и метали се отчитат като смесен отпадък с код 15 01 06, а стъклото с код 15 01 07.</w:t>
      </w:r>
    </w:p>
    <w:p w14:paraId="000000AA" w14:textId="77777777" w:rsidR="00F138E7" w:rsidRDefault="004E53C2">
      <w:pPr>
        <w:tabs>
          <w:tab w:val="left" w:pos="516"/>
          <w:tab w:val="center" w:pos="4536"/>
        </w:tabs>
        <w:spacing w:line="276" w:lineRule="auto"/>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Гуми- излезли от употреба</w:t>
      </w:r>
    </w:p>
    <w:p w14:paraId="000000AB" w14:textId="77777777" w:rsidR="00F138E7" w:rsidRDefault="004E53C2">
      <w:pPr>
        <w:tabs>
          <w:tab w:val="left" w:pos="516"/>
          <w:tab w:val="center" w:pos="4536"/>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няма договор с фирма, която събира гуми излезли от употреба. Но е обявена публично достъпна информация, че всеки гражданин може в автосервизите и пунктовете за смяна на гуми, да предаде такива отпадъци, като ги остави безплатно. Търговските обекти (автосервизи и пунктове за смяна на излезли от употреба гуми), в които се извършва смяна на гуми  са задължени да имат сключен договор с лицензирана фирма, на която да предават събраните от дейността им гуми. Задължени са и да осигурят възможност за безплатно приемане на гумите от крайните потребители в местата на продажба и смяна на гумите, както да поставят на видно място в търговските обекти табели, които съдържат информация за възможностите и начина за обратно приемане на използвани гуми в търговския обект.</w:t>
      </w:r>
    </w:p>
    <w:p w14:paraId="000000AC" w14:textId="77777777" w:rsidR="00F138E7" w:rsidRDefault="004E53C2">
      <w:pPr>
        <w:tabs>
          <w:tab w:val="left" w:pos="516"/>
          <w:tab w:val="center" w:pos="4536"/>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 периода от 05.11.-20.11.21 г. по време на кампанията за събиране на излезли от употреба гуми от гражданите. В 10 района на Столична община: Младост, Люлин, Банкя, Кремиковци, Нови Искър, Искър, Слатина, Връбница, Красна поляна и Овча купел се откриват 13 броя временни места за предаване на стари гуми от гражданите. </w:t>
      </w:r>
    </w:p>
    <w:p w14:paraId="000000AD" w14:textId="77777777" w:rsidR="00F138E7" w:rsidRDefault="004E53C2">
      <w:pPr>
        <w:tabs>
          <w:tab w:val="left" w:pos="516"/>
          <w:tab w:val="center" w:pos="4536"/>
        </w:tabs>
        <w:spacing w:line="276" w:lineRule="auto"/>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Излязло от употреба електронно и електрическо оборудване</w:t>
      </w:r>
    </w:p>
    <w:p w14:paraId="000000AE" w14:textId="77777777" w:rsidR="00F138E7" w:rsidRDefault="004E53C2">
      <w:pPr>
        <w:tabs>
          <w:tab w:val="left" w:pos="516"/>
          <w:tab w:val="center" w:pos="4536"/>
        </w:tabs>
        <w:spacing w:line="276" w:lineRule="auto"/>
        <w:jc w:val="both"/>
        <w:rPr>
          <w:rFonts w:ascii="Palatino Linotype" w:eastAsia="Palatino Linotype" w:hAnsi="Palatino Linotype" w:cs="Palatino Linotype"/>
        </w:rPr>
      </w:pPr>
      <w:bookmarkStart w:id="4" w:name="_heading=h.1fob9te" w:colFirst="0" w:colLast="0"/>
      <w:bookmarkEnd w:id="4"/>
      <w:r>
        <w:rPr>
          <w:rFonts w:ascii="Palatino Linotype" w:eastAsia="Palatino Linotype" w:hAnsi="Palatino Linotype" w:cs="Palatino Linotype"/>
        </w:rPr>
        <w:t>Столична община има сключени договори с две организации, притежаващи разрешение за събиране на излязло от употреба електронно и електрическо оборудване „</w:t>
      </w:r>
      <w:proofErr w:type="spellStart"/>
      <w:r>
        <w:rPr>
          <w:rFonts w:ascii="Palatino Linotype" w:eastAsia="Palatino Linotype" w:hAnsi="Palatino Linotype" w:cs="Palatino Linotype"/>
        </w:rPr>
        <w:t>Екобултех</w:t>
      </w:r>
      <w:proofErr w:type="spellEnd"/>
      <w:r>
        <w:rPr>
          <w:rFonts w:ascii="Palatino Linotype" w:eastAsia="Palatino Linotype" w:hAnsi="Palatino Linotype" w:cs="Palatino Linotype"/>
        </w:rPr>
        <w:t>“ АД за районите „Красна поляна“ и „Овча купел“  и „</w:t>
      </w:r>
      <w:proofErr w:type="spellStart"/>
      <w:r>
        <w:rPr>
          <w:rFonts w:ascii="Palatino Linotype" w:eastAsia="Palatino Linotype" w:hAnsi="Palatino Linotype" w:cs="Palatino Linotype"/>
        </w:rPr>
        <w:t>Елтехресурс</w:t>
      </w:r>
      <w:proofErr w:type="spellEnd"/>
      <w:r>
        <w:rPr>
          <w:rFonts w:ascii="Palatino Linotype" w:eastAsia="Palatino Linotype" w:hAnsi="Palatino Linotype" w:cs="Palatino Linotype"/>
        </w:rPr>
        <w:t>“ АД за всички останали райони на територията на Столична община. Двете организации събират следните категории електронно и електрическо оборудване /ИУЕЕО/:</w:t>
      </w:r>
    </w:p>
    <w:p w14:paraId="000000AF"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големи и малки домакински уреди;</w:t>
      </w:r>
    </w:p>
    <w:p w14:paraId="000000B0"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информационно и телекомуникационно оборудване;</w:t>
      </w:r>
    </w:p>
    <w:p w14:paraId="000000B1"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потребителски уреди;</w:t>
      </w:r>
    </w:p>
    <w:p w14:paraId="000000B2"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осветителни тела, включително </w:t>
      </w:r>
      <w:proofErr w:type="spellStart"/>
      <w:r>
        <w:rPr>
          <w:rFonts w:ascii="Palatino Linotype" w:eastAsia="Palatino Linotype" w:hAnsi="Palatino Linotype" w:cs="Palatino Linotype"/>
          <w:color w:val="000000"/>
        </w:rPr>
        <w:t>луминисцентни</w:t>
      </w:r>
      <w:proofErr w:type="spellEnd"/>
      <w:r>
        <w:rPr>
          <w:rFonts w:ascii="Palatino Linotype" w:eastAsia="Palatino Linotype" w:hAnsi="Palatino Linotype" w:cs="Palatino Linotype"/>
          <w:color w:val="000000"/>
        </w:rPr>
        <w:t xml:space="preserve"> лампи;</w:t>
      </w:r>
    </w:p>
    <w:p w14:paraId="000000B3"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електрически и електронни играчки, артикули за забавление или за спорт;</w:t>
      </w:r>
    </w:p>
    <w:p w14:paraId="000000B4"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автомати;</w:t>
      </w:r>
    </w:p>
    <w:p w14:paraId="000000B5"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уреди за мониторинг и контрол;</w:t>
      </w:r>
    </w:p>
    <w:p w14:paraId="000000B6"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електрически и електронни инструменти;</w:t>
      </w:r>
    </w:p>
    <w:p w14:paraId="000000B7" w14:textId="77777777" w:rsidR="00F138E7" w:rsidRDefault="004E53C2">
      <w:pPr>
        <w:numPr>
          <w:ilvl w:val="0"/>
          <w:numId w:val="16"/>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медицински устройства и др.</w:t>
      </w:r>
    </w:p>
    <w:p w14:paraId="000000B8" w14:textId="77777777" w:rsidR="00F138E7" w:rsidRDefault="00F138E7">
      <w:pPr>
        <w:pBdr>
          <w:top w:val="nil"/>
          <w:left w:val="nil"/>
          <w:bottom w:val="nil"/>
          <w:right w:val="nil"/>
          <w:between w:val="nil"/>
        </w:pBdr>
        <w:tabs>
          <w:tab w:val="left" w:pos="516"/>
          <w:tab w:val="center" w:pos="4536"/>
        </w:tabs>
        <w:spacing w:line="276" w:lineRule="auto"/>
        <w:ind w:left="740"/>
        <w:jc w:val="both"/>
        <w:rPr>
          <w:rFonts w:ascii="Palatino Linotype" w:eastAsia="Palatino Linotype" w:hAnsi="Palatino Linotype" w:cs="Palatino Linotype"/>
          <w:color w:val="000000"/>
        </w:rPr>
      </w:pPr>
    </w:p>
    <w:p w14:paraId="000000B9" w14:textId="77777777" w:rsidR="00F138E7" w:rsidRDefault="004E53C2">
      <w:pPr>
        <w:tabs>
          <w:tab w:val="left" w:pos="516"/>
          <w:tab w:val="center" w:pos="4536"/>
        </w:tabs>
        <w:spacing w:line="276" w:lineRule="auto"/>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lastRenderedPageBreak/>
        <w:t>Отработени моторни масла</w:t>
      </w:r>
    </w:p>
    <w:p w14:paraId="000000BA" w14:textId="77777777" w:rsidR="00F138E7" w:rsidRDefault="004E53C2">
      <w:pPr>
        <w:tabs>
          <w:tab w:val="left" w:pos="516"/>
          <w:tab w:val="center" w:pos="4536"/>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Столична община има организирана система за разделно събиране на отработени масла от гражданите, чрез сключен договор за събирането им с фирма „Ойл </w:t>
      </w:r>
      <w:proofErr w:type="spellStart"/>
      <w:r>
        <w:rPr>
          <w:rFonts w:ascii="Palatino Linotype" w:eastAsia="Palatino Linotype" w:hAnsi="Palatino Linotype" w:cs="Palatino Linotype"/>
        </w:rPr>
        <w:t>Рециклейшън</w:t>
      </w:r>
      <w:proofErr w:type="spellEnd"/>
      <w:r>
        <w:rPr>
          <w:rFonts w:ascii="Palatino Linotype" w:eastAsia="Palatino Linotype" w:hAnsi="Palatino Linotype" w:cs="Palatino Linotype"/>
        </w:rPr>
        <w:t>“ ЕООД. Отработените масла от гражданите могат да се предават само на местата за смяна на отработени масла на територията на Столична община, както и на следната площадка: гр. София, район „Панчарево“, ул. „Циклама“ № 7.</w:t>
      </w:r>
    </w:p>
    <w:p w14:paraId="000000BB" w14:textId="77777777" w:rsidR="00F138E7" w:rsidRDefault="004E53C2">
      <w:pPr>
        <w:tabs>
          <w:tab w:val="left" w:pos="516"/>
          <w:tab w:val="center" w:pos="4536"/>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shd w:val="clear" w:color="auto" w:fill="165167"/>
        </w:rPr>
        <w:br/>
      </w:r>
      <w:r>
        <w:rPr>
          <w:rFonts w:ascii="Palatino Linotype" w:eastAsia="Palatino Linotype" w:hAnsi="Palatino Linotype" w:cs="Palatino Linotype"/>
          <w:b/>
          <w:u w:val="single"/>
        </w:rPr>
        <w:t>Батерии и акумулатори негодни за употреба</w:t>
      </w:r>
    </w:p>
    <w:p w14:paraId="000000BC" w14:textId="77777777" w:rsidR="00F138E7" w:rsidRDefault="004E53C2">
      <w:pPr>
        <w:shd w:val="clear" w:color="auto" w:fill="FFFFFF"/>
        <w:spacing w:after="0" w:line="276" w:lineRule="auto"/>
        <w:jc w:val="both"/>
        <w:rPr>
          <w:rFonts w:ascii="Palatino Linotype" w:eastAsia="Palatino Linotype" w:hAnsi="Palatino Linotype" w:cs="Palatino Linotype"/>
        </w:rPr>
      </w:pPr>
      <w:bookmarkStart w:id="5" w:name="_heading=h.3znysh7" w:colFirst="0" w:colLast="0"/>
      <w:bookmarkEnd w:id="5"/>
      <w:r>
        <w:rPr>
          <w:rFonts w:ascii="Palatino Linotype" w:eastAsia="Palatino Linotype" w:hAnsi="Palatino Linotype" w:cs="Palatino Linotype"/>
        </w:rPr>
        <w:t>Столична община има организирана система за разделно събиране на негодни за употреба батерии и акумулатори /НУБА/, за което има сключен договор с организация по оползотворяване „</w:t>
      </w:r>
      <w:proofErr w:type="spellStart"/>
      <w:r>
        <w:rPr>
          <w:rFonts w:ascii="Palatino Linotype" w:eastAsia="Palatino Linotype" w:hAnsi="Palatino Linotype" w:cs="Palatino Linotype"/>
        </w:rPr>
        <w:t>Екобатери</w:t>
      </w:r>
      <w:proofErr w:type="spellEnd"/>
      <w:r>
        <w:rPr>
          <w:rFonts w:ascii="Palatino Linotype" w:eastAsia="Palatino Linotype" w:hAnsi="Palatino Linotype" w:cs="Palatino Linotype"/>
        </w:rPr>
        <w:t>“ АД. Събирането тези отпадъци се извършва чрез предоставени съдове за разделно събиране на портативни батерии на места, определени от Столична община, които включват училища, детски градини, сградите на районните администрации и административни сгради. Търговските обекти също имат разположени съдове, които гражданите могат да използват за този вид отпадъци.</w:t>
      </w:r>
    </w:p>
    <w:p w14:paraId="000000BD" w14:textId="77777777" w:rsidR="00F138E7" w:rsidRDefault="00F138E7">
      <w:pPr>
        <w:shd w:val="clear" w:color="auto" w:fill="FFFFFF"/>
        <w:spacing w:after="150" w:line="276" w:lineRule="auto"/>
        <w:jc w:val="both"/>
        <w:rPr>
          <w:rFonts w:ascii="Palatino Linotype" w:eastAsia="Palatino Linotype" w:hAnsi="Palatino Linotype" w:cs="Palatino Linotype"/>
          <w:b/>
          <w:color w:val="000000"/>
          <w:u w:val="single"/>
        </w:rPr>
      </w:pPr>
    </w:p>
    <w:p w14:paraId="000000BE" w14:textId="77777777" w:rsidR="00F138E7" w:rsidRDefault="004E53C2">
      <w:pPr>
        <w:shd w:val="clear" w:color="auto" w:fill="FFFFFF"/>
        <w:spacing w:after="0" w:line="276" w:lineRule="auto"/>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Други видове отпадъци извън МРО:</w:t>
      </w:r>
    </w:p>
    <w:p w14:paraId="000000BF" w14:textId="77777777" w:rsidR="00F138E7" w:rsidRDefault="004E53C2">
      <w:pPr>
        <w:shd w:val="clear" w:color="auto" w:fill="FFFFFF"/>
        <w:spacing w:after="0" w:line="276" w:lineRule="auto"/>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Опасни отпадъци.</w:t>
      </w:r>
    </w:p>
    <w:p w14:paraId="000000C0" w14:textId="77777777" w:rsidR="00F138E7" w:rsidRDefault="004E53C2">
      <w:pPr>
        <w:shd w:val="clear" w:color="auto" w:fill="FFFFFF"/>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има организирана система за разделно събиране на опасни отпадъци, образувани от домакинствата от 2012 г. Тези отпадъци с опасни свойства не трябва да се включват в общия поток битови отпадъци, тъй като влияят отрицателно върху здравето на хората, замърсяват околната среда и нарушават нормалната експлоатация на депата.</w:t>
      </w:r>
    </w:p>
    <w:p w14:paraId="000000C1" w14:textId="77777777" w:rsidR="00F138E7" w:rsidRDefault="004E53C2">
      <w:pPr>
        <w:shd w:val="clear" w:color="auto" w:fill="FFFFFF"/>
        <w:spacing w:before="240"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Основните групи опасни отпадъци, образувани от домакинствата са:</w:t>
      </w:r>
    </w:p>
    <w:p w14:paraId="000000C2" w14:textId="77777777" w:rsidR="00F138E7" w:rsidRDefault="004E53C2">
      <w:pPr>
        <w:numPr>
          <w:ilvl w:val="0"/>
          <w:numId w:val="14"/>
        </w:numPr>
        <w:pBdr>
          <w:top w:val="nil"/>
          <w:left w:val="nil"/>
          <w:bottom w:val="nil"/>
          <w:right w:val="nil"/>
          <w:between w:val="nil"/>
        </w:pBdr>
        <w:shd w:val="clear" w:color="auto" w:fill="FFFFFF"/>
        <w:spacing w:before="240"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Лакове и бояджийски материали;</w:t>
      </w:r>
    </w:p>
    <w:p w14:paraId="000000C3" w14:textId="77777777" w:rsidR="00F138E7" w:rsidRDefault="004E53C2">
      <w:pPr>
        <w:numPr>
          <w:ilvl w:val="0"/>
          <w:numId w:val="14"/>
        </w:numPr>
        <w:pBdr>
          <w:top w:val="nil"/>
          <w:left w:val="nil"/>
          <w:bottom w:val="nil"/>
          <w:right w:val="nil"/>
          <w:between w:val="nil"/>
        </w:pBdr>
        <w:shd w:val="clear" w:color="auto" w:fill="FFFFFF"/>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Живак и </w:t>
      </w:r>
      <w:proofErr w:type="spellStart"/>
      <w:r>
        <w:rPr>
          <w:rFonts w:ascii="Palatino Linotype" w:eastAsia="Palatino Linotype" w:hAnsi="Palatino Linotype" w:cs="Palatino Linotype"/>
          <w:color w:val="000000"/>
        </w:rPr>
        <w:t>живаксъдържащи</w:t>
      </w:r>
      <w:proofErr w:type="spellEnd"/>
      <w:r>
        <w:rPr>
          <w:rFonts w:ascii="Palatino Linotype" w:eastAsia="Palatino Linotype" w:hAnsi="Palatino Linotype" w:cs="Palatino Linotype"/>
          <w:color w:val="000000"/>
        </w:rPr>
        <w:t xml:space="preserve"> уреди;</w:t>
      </w:r>
    </w:p>
    <w:p w14:paraId="000000C4" w14:textId="77777777" w:rsidR="00F138E7" w:rsidRDefault="004E53C2">
      <w:pPr>
        <w:numPr>
          <w:ilvl w:val="0"/>
          <w:numId w:val="14"/>
        </w:numPr>
        <w:pBdr>
          <w:top w:val="nil"/>
          <w:left w:val="nil"/>
          <w:bottom w:val="nil"/>
          <w:right w:val="nil"/>
          <w:between w:val="nil"/>
        </w:pBdr>
        <w:shd w:val="clear" w:color="auto" w:fill="FFFFFF"/>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Домакински препарати и химикали;</w:t>
      </w:r>
    </w:p>
    <w:p w14:paraId="000000C5" w14:textId="77777777" w:rsidR="00F138E7" w:rsidRDefault="004E53C2">
      <w:pPr>
        <w:numPr>
          <w:ilvl w:val="0"/>
          <w:numId w:val="14"/>
        </w:numPr>
        <w:pBdr>
          <w:top w:val="nil"/>
          <w:left w:val="nil"/>
          <w:bottom w:val="nil"/>
          <w:right w:val="nil"/>
          <w:between w:val="nil"/>
        </w:pBdr>
        <w:shd w:val="clear" w:color="auto" w:fill="FFFFFF"/>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Мастила и замърсени опаковки;</w:t>
      </w:r>
    </w:p>
    <w:p w14:paraId="000000C6" w14:textId="77777777" w:rsidR="00F138E7" w:rsidRDefault="004E53C2">
      <w:pPr>
        <w:numPr>
          <w:ilvl w:val="0"/>
          <w:numId w:val="14"/>
        </w:numPr>
        <w:pBdr>
          <w:top w:val="nil"/>
          <w:left w:val="nil"/>
          <w:bottom w:val="nil"/>
          <w:right w:val="nil"/>
          <w:between w:val="nil"/>
        </w:pBdr>
        <w:shd w:val="clear" w:color="auto" w:fill="FFFFFF"/>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Фармацевтични продукти/лекарства с изтекъл срок на годност/.</w:t>
      </w:r>
    </w:p>
    <w:p w14:paraId="000000C7"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В рамките на системата фирма „</w:t>
      </w:r>
      <w:proofErr w:type="spellStart"/>
      <w:r>
        <w:rPr>
          <w:rFonts w:ascii="Palatino Linotype" w:eastAsia="Palatino Linotype" w:hAnsi="Palatino Linotype" w:cs="Palatino Linotype"/>
        </w:rPr>
        <w:t>Балбок</w:t>
      </w:r>
      <w:proofErr w:type="spellEnd"/>
      <w:r>
        <w:rPr>
          <w:rFonts w:ascii="Palatino Linotype" w:eastAsia="Palatino Linotype" w:hAnsi="Palatino Linotype" w:cs="Palatino Linotype"/>
        </w:rPr>
        <w:t xml:space="preserve"> Инженеринг“ АД събира отпадъците по два начина: </w:t>
      </w:r>
    </w:p>
    <w:p w14:paraId="000000C8" w14:textId="77777777" w:rsidR="00F138E7" w:rsidRDefault="004E53C2">
      <w:pPr>
        <w:numPr>
          <w:ilvl w:val="0"/>
          <w:numId w:val="17"/>
        </w:numPr>
        <w:pBdr>
          <w:top w:val="nil"/>
          <w:left w:val="nil"/>
          <w:bottom w:val="nil"/>
          <w:right w:val="nil"/>
          <w:between w:val="nil"/>
        </w:pBdr>
        <w:shd w:val="clear" w:color="auto" w:fill="FFFFFF"/>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чрез мобилен събирателен пункт – веднъж месечно като са обхванати всички райони на Столична община. Това е оборудвано транспортно средство, отговарящо на изискванията за превоз на опасни товари, снабдено със съдове за събиране на всички видове опасни отпадъци, попадащи в обхвата на системата.</w:t>
      </w:r>
    </w:p>
    <w:p w14:paraId="000000C9" w14:textId="77777777" w:rsidR="00F138E7" w:rsidRDefault="004E53C2">
      <w:pPr>
        <w:numPr>
          <w:ilvl w:val="0"/>
          <w:numId w:val="17"/>
        </w:numPr>
        <w:pBdr>
          <w:top w:val="nil"/>
          <w:left w:val="nil"/>
          <w:bottom w:val="nil"/>
          <w:right w:val="nil"/>
          <w:between w:val="nil"/>
        </w:pBdr>
        <w:shd w:val="clear" w:color="auto" w:fill="FFFFFF"/>
        <w:spacing w:after="15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Индивидуално - всеки може да се обади на телефона на фирмата и да направи заявка за извозване на събраните от домакинството опасни отпадъци.</w:t>
      </w:r>
    </w:p>
    <w:p w14:paraId="000000CA" w14:textId="77777777" w:rsidR="00F138E7" w:rsidRDefault="004E53C2">
      <w:pPr>
        <w:shd w:val="clear" w:color="auto" w:fill="FFFFFF"/>
        <w:spacing w:after="150" w:line="276" w:lineRule="auto"/>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Отпадъци от текстил:</w:t>
      </w:r>
    </w:p>
    <w:p w14:paraId="000000CB"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има сключени договори с две фирми за изграждане и обслужване на системата за разделно събиране на облекла и текстилни материали с основни генератори домакинствата: „</w:t>
      </w:r>
      <w:proofErr w:type="spellStart"/>
      <w:r>
        <w:rPr>
          <w:rFonts w:ascii="Palatino Linotype" w:eastAsia="Palatino Linotype" w:hAnsi="Palatino Linotype" w:cs="Palatino Linotype"/>
        </w:rPr>
        <w:t>Тексайд</w:t>
      </w:r>
      <w:proofErr w:type="spellEnd"/>
      <w:r>
        <w:rPr>
          <w:rFonts w:ascii="Palatino Linotype" w:eastAsia="Palatino Linotype" w:hAnsi="Palatino Linotype" w:cs="Palatino Linotype"/>
        </w:rPr>
        <w:t xml:space="preserve"> </w:t>
      </w:r>
      <w:proofErr w:type="spellStart"/>
      <w:r>
        <w:rPr>
          <w:rFonts w:ascii="Palatino Linotype" w:eastAsia="Palatino Linotype" w:hAnsi="Palatino Linotype" w:cs="Palatino Linotype"/>
        </w:rPr>
        <w:t>България"ЕООД</w:t>
      </w:r>
      <w:proofErr w:type="spellEnd"/>
      <w:r>
        <w:rPr>
          <w:rFonts w:ascii="Palatino Linotype" w:eastAsia="Palatino Linotype" w:hAnsi="Palatino Linotype" w:cs="Palatino Linotype"/>
        </w:rPr>
        <w:t xml:space="preserve"> и "</w:t>
      </w:r>
      <w:proofErr w:type="spellStart"/>
      <w:r>
        <w:rPr>
          <w:rFonts w:ascii="Palatino Linotype" w:eastAsia="Palatino Linotype" w:hAnsi="Palatino Linotype" w:cs="Palatino Linotype"/>
        </w:rPr>
        <w:t>Евротекс</w:t>
      </w:r>
      <w:proofErr w:type="spellEnd"/>
      <w:r>
        <w:rPr>
          <w:rFonts w:ascii="Palatino Linotype" w:eastAsia="Palatino Linotype" w:hAnsi="Palatino Linotype" w:cs="Palatino Linotype"/>
        </w:rPr>
        <w:t>" ЕООД</w:t>
      </w:r>
    </w:p>
    <w:p w14:paraId="000000CC"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На територията на Столична община са разположени 92 броя подходящи контейнери със заключващ механизъм, за да не се изваждат отпадъци от тях.</w:t>
      </w:r>
    </w:p>
    <w:p w14:paraId="000000CD"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Събраните от контейнерите отпадъци се транспортират от специализираните компании за третиране на текстилни отпадъци до техните площадки, на които се извършва сортиране. Разделят се по видове, като годните за повторна употреба се отделят, а останалите се нарязват и се използват като памучни парцали за индустрията. Това което остава след сортирането се балира и се предава на други компании за правилно рециклиране и оползотворяване. Негодни текстилни материали например /дънки и бял текстил/ се сортират по цвят, изрязват се копчета и ципове и се предават на инсталации за производство на изолационна вата.</w:t>
      </w:r>
    </w:p>
    <w:p w14:paraId="000000CE" w14:textId="77777777" w:rsidR="00F138E7" w:rsidRDefault="004E53C2">
      <w:pPr>
        <w:spacing w:line="276" w:lineRule="auto"/>
        <w:jc w:val="both"/>
        <w:rPr>
          <w:rFonts w:ascii="Palatino Linotype" w:eastAsia="Palatino Linotype" w:hAnsi="Palatino Linotype" w:cs="Palatino Linotype"/>
          <w:b/>
          <w:color w:val="000000"/>
          <w:u w:val="single"/>
        </w:rPr>
      </w:pPr>
      <w:r>
        <w:rPr>
          <w:rFonts w:ascii="Palatino Linotype" w:eastAsia="Palatino Linotype" w:hAnsi="Palatino Linotype" w:cs="Palatino Linotype"/>
          <w:b/>
          <w:color w:val="000000"/>
          <w:u w:val="single"/>
        </w:rPr>
        <w:t>Зелени отпадъци:</w:t>
      </w:r>
    </w:p>
    <w:p w14:paraId="000000CF" w14:textId="77777777" w:rsidR="00F138E7" w:rsidRDefault="004E53C2">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крайградските райони на София има обособени места, където могат да се изхвърлят зелените отпадъци, образувани от частни дворове и градини - листа, треви, клони, храсти, стебла от растения и др. Местата със зелените отпадъци се почистват и събраните отпадъци се транспортират до Инсталацията за биологично третиране в м. Хан Богров. На тези места се оставят единствено зелени отпадъци и не се смесват с други потоци отпадъци.</w:t>
      </w:r>
    </w:p>
    <w:p w14:paraId="000000D0" w14:textId="77777777" w:rsidR="00F138E7" w:rsidRDefault="004E53C2">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Ограждения има на следните адреси:</w:t>
      </w:r>
    </w:p>
    <w:p w14:paraId="000000D1" w14:textId="77777777" w:rsidR="00F138E7" w:rsidRDefault="004E53C2">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р-н „Връбница“ – с. Мрамор, ул. „Васил Левски“ след бензиностанция Петрол Ойл – в дясно покрай река Църна бара</w:t>
      </w:r>
    </w:p>
    <w:p w14:paraId="000000D2" w14:textId="77777777" w:rsidR="00F138E7" w:rsidRDefault="004E53C2">
      <w:pPr>
        <w:numPr>
          <w:ilvl w:val="0"/>
          <w:numId w:val="6"/>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р-н „Кремиковци“  - с. Яна, ул. „Св. Ана“, кв. Челопечене, ул. „</w:t>
      </w:r>
      <w:proofErr w:type="spellStart"/>
      <w:r>
        <w:rPr>
          <w:rFonts w:ascii="Palatino Linotype" w:eastAsia="Palatino Linotype" w:hAnsi="Palatino Linotype" w:cs="Palatino Linotype"/>
          <w:color w:val="000000"/>
        </w:rPr>
        <w:t>Гилица</w:t>
      </w:r>
      <w:proofErr w:type="spellEnd"/>
      <w:r>
        <w:rPr>
          <w:rFonts w:ascii="Palatino Linotype" w:eastAsia="Palatino Linotype" w:hAnsi="Palatino Linotype" w:cs="Palatino Linotype"/>
          <w:color w:val="000000"/>
        </w:rPr>
        <w:t>“;</w:t>
      </w:r>
    </w:p>
    <w:p w14:paraId="000000D3" w14:textId="77777777" w:rsidR="00F138E7" w:rsidRDefault="004E53C2">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районите „Триадица“„ Нови Искър“, „Връбница“, „Панчарево“, „Кремиковци“ и „Искър“ има разположени контейнери 4 м3 /метални/, в който разделно се изхвърлят зелени отпадъци.</w:t>
      </w:r>
    </w:p>
    <w:p w14:paraId="000000D4" w14:textId="77777777" w:rsidR="00F138E7" w:rsidRDefault="004E53C2">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останалите райони на Столична община, зелени отпадъци се оставят в чували до контейнерите за битови отпадъци. От тези места се събират със специализирана техника и се транспортират до Инсталацията за биологично третиране в м. Хан Богров.</w:t>
      </w:r>
    </w:p>
    <w:p w14:paraId="000000D5" w14:textId="77777777" w:rsidR="00F138E7" w:rsidRDefault="004E53C2">
      <w:pPr>
        <w:shd w:val="clear" w:color="auto" w:fill="FFFFFF"/>
        <w:spacing w:after="15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Адреси на разположените контейнери ( 4 м3) и определените места за разделно  събиране на зелени биоотпадъци по райони на територията на Столична община.</w:t>
      </w:r>
    </w:p>
    <w:p w14:paraId="000000D6" w14:textId="77777777" w:rsidR="00F138E7" w:rsidRDefault="004E53C2">
      <w:pPr>
        <w:shd w:val="clear" w:color="auto" w:fill="FFFFFF"/>
        <w:spacing w:after="150" w:line="276" w:lineRule="auto"/>
        <w:jc w:val="both"/>
        <w:rPr>
          <w:rFonts w:ascii="Palatino Linotype" w:eastAsia="Palatino Linotype" w:hAnsi="Palatino Linotype" w:cs="Palatino Linotype"/>
          <w:b/>
          <w:u w:val="single"/>
        </w:rPr>
      </w:pPr>
      <w:r>
        <w:rPr>
          <w:rFonts w:ascii="Palatino Linotype" w:eastAsia="Palatino Linotype" w:hAnsi="Palatino Linotype" w:cs="Palatino Linotype"/>
          <w:b/>
          <w:u w:val="single"/>
        </w:rPr>
        <w:t>Площадки за безвъзмездно предаване на разделно събрани отпадъци от домакинствата, в т.ч. едрогабаритни отпадъци, опасни отпадъци от бита и от ремонтна дейност на домакинствата и др.</w:t>
      </w:r>
    </w:p>
    <w:p w14:paraId="000000D7"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Съгласно изискванията на чл.19, </w:t>
      </w:r>
      <w:proofErr w:type="spellStart"/>
      <w:r>
        <w:rPr>
          <w:rFonts w:ascii="Palatino Linotype" w:eastAsia="Palatino Linotype" w:hAnsi="Palatino Linotype" w:cs="Palatino Linotype"/>
        </w:rPr>
        <w:t>ал.З</w:t>
      </w:r>
      <w:proofErr w:type="spellEnd"/>
      <w:r>
        <w:rPr>
          <w:rFonts w:ascii="Palatino Linotype" w:eastAsia="Palatino Linotype" w:hAnsi="Palatino Linotype" w:cs="Palatino Linotype"/>
        </w:rPr>
        <w:t>, т.11 от Закона за управление на отпадъците (ЗУО), кметът на общината отговаря за осигуряването на площадки за безвъзмездно предаване на разделно събрани отпадъци от домакинствата, в т.ч. едрогабаритни отпадъци, опасни отпадъци и други във всички населени места с население, по-голямо от 10 000 жители на територията на общината, и при необходимост в други населени места.</w:t>
      </w:r>
    </w:p>
    <w:p w14:paraId="000000D8"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Произтичащите от тази разпоредба ангажименти на кмета, могат да бъдат реализирани посредством изграждане на такива площадки или чрез сключване на договор с лица, притежаващи съответен документ за дейности с отпадъци по чл. 35 от ЗУО за площадки на територията на общината. За отделните потоци отпадъци,  с цел изпълнение на задълженията си, кметът може да сключи договори с различни лица.</w:t>
      </w:r>
    </w:p>
    <w:p w14:paraId="000000D9"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е сключила договори с фирми, притежаващи разрешение по Закона за управление на отпадъците, за осигуряване на площадки за предаване на разделно събрани отпадъци от домакинствата.</w:t>
      </w:r>
    </w:p>
    <w:p w14:paraId="000000DA"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С договорите е осигурена възможност на гражданите на столицата да предават разделно събрани отпадъци от  опаковки, отпадъчни материали от хартия и картон, пластмаса, метал, стъкло, негодни за употреба батерии, текстилни отпадъци, излезли от употреба електрически уреди, обемисти едрогабаритни отпадъци, биоразградими зелени отпадъци, както  и други видове битови отпадъци от домакинствата, включени в разрешенията на фирмите.</w:t>
      </w:r>
    </w:p>
    <w:p w14:paraId="000000DB" w14:textId="77777777" w:rsidR="00F138E7" w:rsidRDefault="004E53C2">
      <w:pPr>
        <w:shd w:val="clear" w:color="auto" w:fill="FFFFFF"/>
        <w:spacing w:after="15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Адреси на площадките с разположението им по райони и видове отпадъци, които могат да се предават на всяка от тях са посочени на интернет адрес на Столична община, за Район "Сердика", Район "Надежда", Район "Искър", Район "Банкя", а именно на адрес: </w:t>
      </w:r>
      <w:hyperlink r:id="rId8">
        <w:r>
          <w:rPr>
            <w:rFonts w:ascii="Palatino Linotype" w:eastAsia="Palatino Linotype" w:hAnsi="Palatino Linotype" w:cs="Palatino Linotype"/>
            <w:color w:val="0066CC"/>
            <w:u w:val="single"/>
          </w:rPr>
          <w:t>https://www.sofia.bg/en/separate-collection/-/asset_publisher/oVpyOnvfpPLX/content/plosadki-na-teritoriata-na-obsinata-za-bezv-zmezdno-predavane-na-razdelno-s-brani-otpad-ci-ot-domakinstvata?inheritRedirect=false</w:t>
        </w:r>
      </w:hyperlink>
    </w:p>
    <w:p w14:paraId="000000DC" w14:textId="77777777" w:rsidR="00F138E7" w:rsidRDefault="004E53C2">
      <w:pPr>
        <w:pBdr>
          <w:bottom w:val="single" w:sz="4" w:space="1" w:color="C55911"/>
        </w:pBd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 xml:space="preserve">4.7.2. Изводи и препоръки: </w:t>
      </w:r>
    </w:p>
    <w:p w14:paraId="000000DD" w14:textId="77777777" w:rsidR="00F138E7" w:rsidRDefault="004E53C2">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Опасните отпадъци от домовете на гражданите се събират от организация по заявка и месечно в Мобилен събирателен пункт. Разположението на Мобилния </w:t>
      </w:r>
      <w:r>
        <w:rPr>
          <w:rFonts w:ascii="Palatino Linotype" w:eastAsia="Palatino Linotype" w:hAnsi="Palatino Linotype" w:cs="Palatino Linotype"/>
          <w:color w:val="000000"/>
        </w:rPr>
        <w:lastRenderedPageBreak/>
        <w:t xml:space="preserve">пункт е по райони след предварително утвърден от Столична община годишен график. </w:t>
      </w:r>
    </w:p>
    <w:p w14:paraId="000000DE" w14:textId="77777777" w:rsidR="00F138E7" w:rsidRDefault="004E53C2">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Оползотворяването на излязло от употреба електрическо и електронни оборудване (ИУЕЕО) на територията на Столична община се извършва след предварително утвърден график за съответната година и при заявки на съответните телефонни номера на горепосочените организации.</w:t>
      </w:r>
    </w:p>
    <w:p w14:paraId="000000DF" w14:textId="77777777" w:rsidR="00F138E7" w:rsidRDefault="004E53C2">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Събирането на негодни за употреба батерии и акумулатори се извършва от организация с която Столична община има сключен договор. Събирането на НУБА се извършва по предварително утвърден график за съответната година и чрез съдове, разположение в търговски и административни сгради.</w:t>
      </w:r>
    </w:p>
    <w:p w14:paraId="000000E0" w14:textId="77777777" w:rsidR="00F138E7" w:rsidRDefault="004E53C2">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Собствениците на ИУМПС са длъжни да ги предават на площадки за събиране и временно съхраняване или в центрове за разкомплектоване. ИУМПС могат да се съхраняват от собствениците им на имоти – тяхна собственост до предаването им на площадка за временно съхранение или в център за разкомплектоване на ИУМПС. Принудително преместване на ИУМПС се извършва в съответствие с разпоредбите на общинската Наредба за управление на отпадъците на територията на СО от „Българска рециклираща компания“ АД. </w:t>
      </w:r>
    </w:p>
    <w:p w14:paraId="000000E1" w14:textId="77777777" w:rsidR="00F138E7" w:rsidRDefault="004E53C2">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Притежателите на негодните за употреба гуми са длъжни да ги предават само на специализираните площадки за събиране или съхранение или на местата за смяна и продажба на гуми. Търговските обекти (автосервизи и пунктове за смяна на ИУГ) са задължени да имат сключен договор с лицензирана фирма, на която да предават събраните гуми.</w:t>
      </w:r>
    </w:p>
    <w:p w14:paraId="000000E2" w14:textId="7A69CCAD" w:rsidR="00F138E7" w:rsidRPr="007B1A1E" w:rsidRDefault="004E53C2">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rPr>
        <w:t>Отработените масла от гражданите могат да се предават само на местата за смяна на отработени масла на територията на Столична община, както и на следната площадка:</w:t>
      </w:r>
      <w:r w:rsidR="00D87EDE">
        <w:rPr>
          <w:rFonts w:ascii="Palatino Linotype" w:eastAsia="Palatino Linotype" w:hAnsi="Palatino Linotype" w:cs="Palatino Linotype"/>
        </w:rPr>
        <w:t xml:space="preserve"> </w:t>
      </w:r>
      <w:r>
        <w:rPr>
          <w:rFonts w:ascii="Palatino Linotype" w:eastAsia="Palatino Linotype" w:hAnsi="Palatino Linotype" w:cs="Palatino Linotype"/>
        </w:rPr>
        <w:t>гр. София, район „Панчарево“, ул. „Циклама“ № 7.</w:t>
      </w:r>
    </w:p>
    <w:p w14:paraId="341211A9" w14:textId="3CB9441C" w:rsidR="00127D76" w:rsidRDefault="007B1A1E" w:rsidP="00127D76">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lang w:val="en-US"/>
        </w:rPr>
        <w:t>K</w:t>
      </w:r>
      <w:proofErr w:type="spellStart"/>
      <w:r>
        <w:rPr>
          <w:rFonts w:ascii="Palatino Linotype" w:eastAsia="Palatino Linotype" w:hAnsi="Palatino Linotype" w:cs="Palatino Linotype"/>
        </w:rPr>
        <w:t>ъм</w:t>
      </w:r>
      <w:proofErr w:type="spellEnd"/>
      <w:r>
        <w:rPr>
          <w:rFonts w:ascii="Palatino Linotype" w:eastAsia="Palatino Linotype" w:hAnsi="Palatino Linotype" w:cs="Palatino Linotype"/>
        </w:rPr>
        <w:t xml:space="preserve"> момента </w:t>
      </w:r>
      <w:r w:rsidR="00127D76" w:rsidRPr="00127D76">
        <w:rPr>
          <w:rFonts w:ascii="Palatino Linotype" w:eastAsia="Palatino Linotype" w:hAnsi="Palatino Linotype" w:cs="Palatino Linotype"/>
        </w:rPr>
        <w:t xml:space="preserve">Столична община е </w:t>
      </w:r>
      <w:r w:rsidR="00127D76">
        <w:rPr>
          <w:rFonts w:ascii="Palatino Linotype" w:eastAsia="Palatino Linotype" w:hAnsi="Palatino Linotype" w:cs="Palatino Linotype"/>
          <w:lang w:val="en-US"/>
        </w:rPr>
        <w:t>o</w:t>
      </w:r>
      <w:proofErr w:type="spellStart"/>
      <w:r w:rsidR="00D87EDE">
        <w:rPr>
          <w:rFonts w:ascii="Palatino Linotype" w:eastAsia="Palatino Linotype" w:hAnsi="Palatino Linotype" w:cs="Palatino Linotype"/>
        </w:rPr>
        <w:t>безпечила</w:t>
      </w:r>
      <w:proofErr w:type="spellEnd"/>
      <w:r w:rsidR="00127D76">
        <w:rPr>
          <w:rFonts w:ascii="Palatino Linotype" w:eastAsia="Palatino Linotype" w:hAnsi="Palatino Linotype" w:cs="Palatino Linotype"/>
        </w:rPr>
        <w:t xml:space="preserve"> задължението си, по отношение на </w:t>
      </w:r>
      <w:r w:rsidR="00D87EDE">
        <w:rPr>
          <w:rFonts w:ascii="Palatino Linotype" w:eastAsia="Palatino Linotype" w:hAnsi="Palatino Linotype" w:cs="Palatino Linotype"/>
        </w:rPr>
        <w:t xml:space="preserve">отговорността за осигуряване на </w:t>
      </w:r>
      <w:r w:rsidR="00127D76">
        <w:rPr>
          <w:rFonts w:ascii="Palatino Linotype" w:eastAsia="Palatino Linotype" w:hAnsi="Palatino Linotype" w:cs="Palatino Linotype"/>
        </w:rPr>
        <w:t>площадки за</w:t>
      </w:r>
      <w:r w:rsidR="00D87EDE" w:rsidRPr="00D87EDE">
        <w:t xml:space="preserve"> </w:t>
      </w:r>
      <w:r w:rsidR="00D87EDE" w:rsidRPr="00D87EDE">
        <w:rPr>
          <w:rFonts w:ascii="Palatino Linotype" w:eastAsia="Palatino Linotype" w:hAnsi="Palatino Linotype" w:cs="Palatino Linotype"/>
        </w:rPr>
        <w:t>безвъзмездно предаване на разделно събрани отпадъци от домакинствата, в т.ч. едрогабаритни отпадъци, опасни отпадъци и други</w:t>
      </w:r>
      <w:r w:rsidR="00D87EDE">
        <w:rPr>
          <w:rFonts w:ascii="Palatino Linotype" w:eastAsia="Palatino Linotype" w:hAnsi="Palatino Linotype" w:cs="Palatino Linotype"/>
        </w:rPr>
        <w:t xml:space="preserve">. </w:t>
      </w:r>
      <w:r w:rsidR="00127D76">
        <w:rPr>
          <w:rFonts w:ascii="Palatino Linotype" w:eastAsia="Palatino Linotype" w:hAnsi="Palatino Linotype" w:cs="Palatino Linotype"/>
        </w:rPr>
        <w:t>Общината е сключила</w:t>
      </w:r>
      <w:r w:rsidR="00127D76" w:rsidRPr="00127D76">
        <w:rPr>
          <w:rFonts w:ascii="Palatino Linotype" w:eastAsia="Palatino Linotype" w:hAnsi="Palatino Linotype" w:cs="Palatino Linotype"/>
        </w:rPr>
        <w:t xml:space="preserve"> договори с фирми, притежаващи разрешение по Закона за управление на отпадъците, за осигуряване на площадки за предаване на разделно събрани отпадъци от домакинствата</w:t>
      </w:r>
      <w:r w:rsidR="00127D76" w:rsidRPr="00D87EDE">
        <w:rPr>
          <w:rFonts w:ascii="Palatino Linotype" w:eastAsia="Palatino Linotype" w:hAnsi="Palatino Linotype" w:cs="Palatino Linotype"/>
        </w:rPr>
        <w:t>.</w:t>
      </w:r>
      <w:r w:rsidR="00127D76" w:rsidRPr="00D87EDE">
        <w:rPr>
          <w:rFonts w:ascii="Palatino Linotype" w:hAnsi="Palatino Linotype"/>
        </w:rPr>
        <w:t xml:space="preserve"> И</w:t>
      </w:r>
      <w:r w:rsidR="00127D76" w:rsidRPr="00D87EDE">
        <w:rPr>
          <w:rFonts w:ascii="Palatino Linotype" w:eastAsia="Palatino Linotype" w:hAnsi="Palatino Linotype" w:cs="Palatino Linotype"/>
        </w:rPr>
        <w:t>нформация</w:t>
      </w:r>
      <w:r w:rsidR="00127D76" w:rsidRPr="00127D76">
        <w:rPr>
          <w:rFonts w:ascii="Palatino Linotype" w:eastAsia="Palatino Linotype" w:hAnsi="Palatino Linotype" w:cs="Palatino Linotype"/>
        </w:rPr>
        <w:t xml:space="preserve"> за всички площадки, разположени на територията на Столична община, които притежават разрешение по Закона за управление на отпадъците за дейности с отпадъци, може да бъде намерена в Публичен регистър на лицата, притежаващи документи за извършване на дейности с отпадъци по Закона за управление на отпадъците на интернет страницата на Изпълнителна агенция по околна среда на следния  адрес: </w:t>
      </w:r>
    </w:p>
    <w:p w14:paraId="1D4BF861" w14:textId="0FA785C8" w:rsidR="00D87EDE" w:rsidRDefault="00C96575" w:rsidP="00D87EDE">
      <w:pPr>
        <w:pBdr>
          <w:top w:val="nil"/>
          <w:left w:val="nil"/>
          <w:bottom w:val="nil"/>
          <w:right w:val="nil"/>
          <w:between w:val="nil"/>
        </w:pBdr>
        <w:spacing w:after="0" w:line="276" w:lineRule="auto"/>
        <w:ind w:left="720"/>
        <w:jc w:val="both"/>
        <w:rPr>
          <w:rFonts w:ascii="Palatino Linotype" w:eastAsia="Palatino Linotype" w:hAnsi="Palatino Linotype" w:cs="Palatino Linotype"/>
        </w:rPr>
      </w:pPr>
      <w:hyperlink r:id="rId9" w:history="1">
        <w:r w:rsidR="00D87EDE" w:rsidRPr="00841E67">
          <w:rPr>
            <w:rStyle w:val="Hyperlink"/>
            <w:rFonts w:ascii="Palatino Linotype" w:eastAsia="Palatino Linotype" w:hAnsi="Palatino Linotype" w:cs="Palatino Linotype"/>
          </w:rPr>
          <w:t>https://nwms.eea.government.bg/app/registers/waste-activities</w:t>
        </w:r>
      </w:hyperlink>
    </w:p>
    <w:p w14:paraId="4E889E2F" w14:textId="1460608D" w:rsidR="00D87EDE" w:rsidRDefault="00D87EDE" w:rsidP="00D87EDE">
      <w:pPr>
        <w:pBdr>
          <w:top w:val="nil"/>
          <w:left w:val="nil"/>
          <w:bottom w:val="nil"/>
          <w:right w:val="nil"/>
          <w:between w:val="nil"/>
        </w:pBdr>
        <w:spacing w:after="0" w:line="276" w:lineRule="auto"/>
        <w:ind w:left="720"/>
        <w:jc w:val="both"/>
        <w:rPr>
          <w:rFonts w:ascii="Palatino Linotype" w:eastAsia="Palatino Linotype" w:hAnsi="Palatino Linotype" w:cs="Palatino Linotype"/>
        </w:rPr>
      </w:pPr>
      <w:r>
        <w:rPr>
          <w:rFonts w:ascii="Palatino Linotype" w:eastAsia="Palatino Linotype" w:hAnsi="Palatino Linotype" w:cs="Palatino Linotype"/>
        </w:rPr>
        <w:lastRenderedPageBreak/>
        <w:t xml:space="preserve">Освен това, на интернет адрес: </w:t>
      </w:r>
      <w:hyperlink r:id="rId10" w:history="1">
        <w:r w:rsidR="00D56716" w:rsidRPr="00841E67">
          <w:rPr>
            <w:rStyle w:val="Hyperlink"/>
            <w:rFonts w:ascii="Palatino Linotype" w:eastAsia="Palatino Linotype" w:hAnsi="Palatino Linotype" w:cs="Palatino Linotype"/>
          </w:rPr>
          <w:t>https://waste.sofia.bg/</w:t>
        </w:r>
      </w:hyperlink>
      <w:r>
        <w:rPr>
          <w:rFonts w:ascii="Palatino Linotype" w:eastAsia="Palatino Linotype" w:hAnsi="Palatino Linotype" w:cs="Palatino Linotype"/>
        </w:rPr>
        <w:t>.</w:t>
      </w:r>
      <w:r w:rsidR="00D56716">
        <w:rPr>
          <w:rFonts w:ascii="Palatino Linotype" w:eastAsia="Palatino Linotype" w:hAnsi="Palatino Linotype" w:cs="Palatino Linotype"/>
        </w:rPr>
        <w:t xml:space="preserve"> Може да бъде открита информация относно</w:t>
      </w:r>
      <w:r w:rsidRPr="00D87EDE">
        <w:rPr>
          <w:rFonts w:ascii="Palatino Linotype" w:eastAsia="Palatino Linotype" w:hAnsi="Palatino Linotype" w:cs="Palatino Linotype"/>
        </w:rPr>
        <w:t xml:space="preserve"> карта</w:t>
      </w:r>
      <w:r w:rsidR="00D56716">
        <w:rPr>
          <w:rFonts w:ascii="Palatino Linotype" w:eastAsia="Palatino Linotype" w:hAnsi="Palatino Linotype" w:cs="Palatino Linotype"/>
        </w:rPr>
        <w:t>, на която</w:t>
      </w:r>
      <w:r w:rsidRPr="00D87EDE">
        <w:rPr>
          <w:rFonts w:ascii="Palatino Linotype" w:eastAsia="Palatino Linotype" w:hAnsi="Palatino Linotype" w:cs="Palatino Linotype"/>
        </w:rPr>
        <w:t xml:space="preserve"> е посочено местоположението на различните видове контейнери за разделно събиране на отпадъци, на общинските площадки за вторични суровини. Качени са и графиците за събиране на строителни и едрогабаритни отпадъци по райони.</w:t>
      </w:r>
    </w:p>
    <w:p w14:paraId="4B4E9A26" w14:textId="77777777" w:rsidR="00D87EDE" w:rsidRDefault="00D87EDE" w:rsidP="00D87EDE">
      <w:pPr>
        <w:pBdr>
          <w:top w:val="nil"/>
          <w:left w:val="nil"/>
          <w:bottom w:val="nil"/>
          <w:right w:val="nil"/>
          <w:between w:val="nil"/>
        </w:pBdr>
        <w:spacing w:after="0" w:line="276" w:lineRule="auto"/>
        <w:ind w:left="720"/>
        <w:jc w:val="both"/>
        <w:rPr>
          <w:rFonts w:ascii="Palatino Linotype" w:eastAsia="Palatino Linotype" w:hAnsi="Palatino Linotype" w:cs="Palatino Linotype"/>
        </w:rPr>
      </w:pPr>
    </w:p>
    <w:p w14:paraId="000000E3" w14:textId="6A293E79" w:rsidR="00F138E7" w:rsidRDefault="004E53C2" w:rsidP="00D87EDE">
      <w:pPr>
        <w:pBdr>
          <w:top w:val="nil"/>
          <w:left w:val="nil"/>
          <w:bottom w:val="nil"/>
          <w:right w:val="nil"/>
          <w:between w:val="nil"/>
        </w:pBdr>
        <w:spacing w:after="0" w:line="276" w:lineRule="auto"/>
        <w:ind w:left="720"/>
        <w:jc w:val="both"/>
        <w:rPr>
          <w:rFonts w:ascii="Palatino Linotype" w:eastAsia="Palatino Linotype" w:hAnsi="Palatino Linotype" w:cs="Palatino Linotype"/>
        </w:rPr>
      </w:pPr>
      <w:r>
        <w:rPr>
          <w:rFonts w:ascii="Palatino Linotype" w:eastAsia="Palatino Linotype" w:hAnsi="Palatino Linotype" w:cs="Palatino Linotype"/>
        </w:rPr>
        <w:t xml:space="preserve">На интернет страница на общината, е налична информация за задълженията по сключените договори с организации по оползотворяване на масово разпространени отпадъци (МРО), напр. брой и местоположение на съдове за разделно събиране на съответните видове отпадъци; площадки за предаване на МРО и др. </w:t>
      </w:r>
    </w:p>
    <w:p w14:paraId="000000E4" w14:textId="77777777" w:rsidR="00F138E7" w:rsidRDefault="00F138E7">
      <w:pPr>
        <w:tabs>
          <w:tab w:val="center" w:pos="426"/>
          <w:tab w:val="left" w:pos="516"/>
        </w:tabs>
        <w:spacing w:line="276" w:lineRule="auto"/>
        <w:jc w:val="both"/>
        <w:rPr>
          <w:rFonts w:ascii="Palatino Linotype" w:eastAsia="Palatino Linotype" w:hAnsi="Palatino Linotype" w:cs="Palatino Linotype"/>
        </w:rPr>
      </w:pPr>
    </w:p>
    <w:p w14:paraId="000000E5" w14:textId="77777777" w:rsidR="00F138E7" w:rsidRDefault="004E53C2">
      <w:pPr>
        <w:pBdr>
          <w:bottom w:val="single" w:sz="4" w:space="1" w:color="C55911"/>
        </w:pBd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4.7.3. Схема за отговорност на домакинствата и на другите лица, които генерират подобни на битовите отпадъци:</w:t>
      </w:r>
    </w:p>
    <w:p w14:paraId="000000E6"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Схемата се прилага за битовите отпадъци от домакинствата (с изключение на 6 групи МРО) и за отпадъци, подобни на битовите, които по своя характер и състав са сравними с отпадъците от домакинствата, но образувани от други източници. Подобни на битовите отпадъци се образуват най-вече от административни сгради, образователни институции, социални организации, пазари, търговски обекти, хотели и ресторанти, ателиета за услуги. Битови отпадъци се образуват и от производствени предприятия, но от жизнената дейност на служителите и работниците в тези предприятия. В схемата попадат и строителните отпадъци от ремонтни дейности и от разрушаване на сгради, генерирани от домакинствата и други обекти в малки количества. При тази схема задължени лица са домакинствата и лицата, които образуват битови отпадъци и подобни на битовите отпадъци. Тези лица са отговорни за изхвърлянето, включително разделното събиране и изхвърляне на битовите отпадъци в определените за целта съдове и места и за заплащане на разходите за услугите по временно съхраняване, събиране, транспортиране и третиране на отпадъците в съответствие със Закона за местните данъци и такси, ЗУО и наредбите на общините за управление на отпадъците. Задължените в схемата лица заплащат ежегодна такса за битови отпадъци, в размер определен от общинския съвет. Целта на таксата битови отпадъци е прилагане на принципа «замърсителят плаща». Общината е определила таксата битови отпадъци като промил от данъчната оценка/отчетната стойност на имотите на гражданите, фирмите и институциите. Столична община е предоставила възможност на юридическите лица да заявяват необходимия брой контейнери и честота на извозване на отпадъците и на тази база да се определя годишната им такса за битови отпадъци, т.е. на база изхвърляно количество битови отпадъци. Поради тази причина принципът </w:t>
      </w:r>
      <w:r>
        <w:rPr>
          <w:rFonts w:ascii="Palatino Linotype" w:eastAsia="Palatino Linotype" w:hAnsi="Palatino Linotype" w:cs="Palatino Linotype"/>
        </w:rPr>
        <w:lastRenderedPageBreak/>
        <w:t xml:space="preserve">«замърсителят плаща» не се прилага напълно. През 2017 г. бе приет ЗИД на ЗМДТ, с който бяха въведени нови основи за определяне на такса битови отпадъци като препоръчителната основа е на база количество на генерираните отпадъци или други основни различни от данъчната оценка, като напр. на 1 жител. Такса битови отпадъци на база принципа „замърсителя плаща“ трябва да се въведе до 2 години след публикуване на официалните резултати от преброяването през 2021 г. </w:t>
      </w:r>
    </w:p>
    <w:p w14:paraId="000000E7"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 Столична община на основание чл.21, ал.1, т.7 и ал.2 от Закона за местното самоуправление и местната администрация, чл.66, ал. 1 от Закона за местните данъци и такси и чл. 18, ал. 2 от </w:t>
      </w:r>
      <w:r>
        <w:rPr>
          <w:rFonts w:ascii="Palatino Linotype" w:eastAsia="Palatino Linotype" w:hAnsi="Palatino Linotype" w:cs="Palatino Linotype"/>
          <w:i/>
        </w:rPr>
        <w:t>Наредбата за определяне и администриране на местни такси и цени на услуги,</w:t>
      </w:r>
      <w:r>
        <w:rPr>
          <w:rFonts w:ascii="Palatino Linotype" w:eastAsia="Palatino Linotype" w:hAnsi="Palatino Linotype" w:cs="Palatino Linotype"/>
        </w:rPr>
        <w:t xml:space="preserve"> Столичен общински съвет приема и одобрява план-сметка за дейностите по събиране, извозване, обезвреждане в депа или други съоръжения на битовите отпадъци и за поддържане чистотата на териториите за обществено ползване. Като за 2022 г., план -сметката включва:</w:t>
      </w:r>
    </w:p>
    <w:p w14:paraId="000000E8" w14:textId="77777777" w:rsidR="00F138E7" w:rsidRDefault="004E53C2">
      <w:pPr>
        <w:numPr>
          <w:ilvl w:val="0"/>
          <w:numId w:val="20"/>
        </w:numPr>
        <w:pBdr>
          <w:top w:val="nil"/>
          <w:left w:val="nil"/>
          <w:bottom w:val="nil"/>
          <w:right w:val="nil"/>
          <w:between w:val="nil"/>
        </w:pBdr>
        <w:tabs>
          <w:tab w:val="left" w:pos="426"/>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 чл.23 - за нежилищни имоти на предприятия, според количеството битови отпадъци, съобразно вида и броя на съдовете за съхраняването им и честота на сметоизвозване:</w:t>
      </w:r>
    </w:p>
    <w:p w14:paraId="000000E9" w14:textId="77777777" w:rsidR="00F138E7" w:rsidRDefault="004E53C2">
      <w:pPr>
        <w:numPr>
          <w:ilvl w:val="0"/>
          <w:numId w:val="1"/>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 ал.3 - размер на такса битови отпадъци на един съд за една година, в лева, при честота на сметоизвозване един път седмично, в зависимост от вида и обема на съда, като цена на услугата по сметосъбиране и сметоизвозване и обезвреждане в депа или други съоръжения на битовите отпадъци, съгласно Приложение Б;</w:t>
      </w:r>
    </w:p>
    <w:p w14:paraId="000000EA" w14:textId="77777777" w:rsidR="00F138E7" w:rsidRDefault="004E53C2">
      <w:pPr>
        <w:numPr>
          <w:ilvl w:val="0"/>
          <w:numId w:val="1"/>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 ал.4 – 4.30 ‰  върху отчетната стойност на имотите за поддържане чистотата на териториите за обществено ползване.</w:t>
      </w:r>
    </w:p>
    <w:p w14:paraId="000000EB" w14:textId="77777777" w:rsidR="00F138E7" w:rsidRDefault="00F138E7">
      <w:pPr>
        <w:pBdr>
          <w:top w:val="nil"/>
          <w:left w:val="nil"/>
          <w:bottom w:val="nil"/>
          <w:right w:val="nil"/>
          <w:between w:val="nil"/>
        </w:pBdr>
        <w:spacing w:after="0" w:line="276" w:lineRule="auto"/>
        <w:ind w:left="720"/>
        <w:jc w:val="both"/>
        <w:rPr>
          <w:rFonts w:ascii="Palatino Linotype" w:eastAsia="Palatino Linotype" w:hAnsi="Palatino Linotype" w:cs="Palatino Linotype"/>
          <w:color w:val="000000"/>
        </w:rPr>
      </w:pPr>
    </w:p>
    <w:p w14:paraId="000000EC" w14:textId="77777777" w:rsidR="00F138E7" w:rsidRDefault="004E53C2">
      <w:pPr>
        <w:numPr>
          <w:ilvl w:val="0"/>
          <w:numId w:val="20"/>
        </w:numPr>
        <w:pBdr>
          <w:top w:val="nil"/>
          <w:left w:val="nil"/>
          <w:bottom w:val="nil"/>
          <w:right w:val="nil"/>
          <w:between w:val="nil"/>
        </w:pBdr>
        <w:tabs>
          <w:tab w:val="left" w:pos="426"/>
        </w:tabs>
        <w:spacing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 чл.24, ал.6 - за нежилищни имоти на предприятия, чрез пряко договаряне с фирми, извършващи услугата по сметосъбиране и сметоизвозване:</w:t>
      </w:r>
    </w:p>
    <w:p w14:paraId="000000ED"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- 2.60 ‰  върху отчетната стойност на имотите, за обезвреждане в депа или други съоръжения на битовите отпадъци;</w:t>
      </w:r>
    </w:p>
    <w:p w14:paraId="000000EE"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- 4.30 ‰  върху отчетната стойност на имотите за поддържане чистотата на териториите за обществено ползване.</w:t>
      </w:r>
    </w:p>
    <w:p w14:paraId="000000EF" w14:textId="77777777" w:rsidR="00F138E7" w:rsidRDefault="004E53C2">
      <w:pPr>
        <w:numPr>
          <w:ilvl w:val="0"/>
          <w:numId w:val="20"/>
        </w:numPr>
        <w:pBdr>
          <w:top w:val="nil"/>
          <w:left w:val="nil"/>
          <w:bottom w:val="nil"/>
          <w:right w:val="nil"/>
          <w:between w:val="nil"/>
        </w:pBdr>
        <w:tabs>
          <w:tab w:val="left" w:pos="426"/>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 чл.26 - за нежилищни имоти на предприятия:</w:t>
      </w:r>
    </w:p>
    <w:p w14:paraId="000000F0" w14:textId="77777777" w:rsidR="00F138E7" w:rsidRDefault="004E53C2">
      <w:pPr>
        <w:pBdr>
          <w:top w:val="nil"/>
          <w:left w:val="nil"/>
          <w:bottom w:val="nil"/>
          <w:right w:val="nil"/>
          <w:between w:val="nil"/>
        </w:pBdr>
        <w:tabs>
          <w:tab w:val="left" w:pos="42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10,00 ‰  върху отчетната стойност на имотите Разпределението е, както следва:</w:t>
      </w:r>
    </w:p>
    <w:p w14:paraId="000000F1" w14:textId="77777777" w:rsidR="00F138E7" w:rsidRDefault="004E53C2">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3,10 ‰  за сметосъбиране и сметоизвозване на битовите отпадъци;</w:t>
      </w:r>
    </w:p>
    <w:p w14:paraId="000000F2" w14:textId="77777777" w:rsidR="00F138E7" w:rsidRDefault="004E53C2">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2.60 ‰  за обезвреждане в депа или други съоръжения на битовите отпадъци;</w:t>
      </w:r>
    </w:p>
    <w:p w14:paraId="000000F3" w14:textId="77777777" w:rsidR="00F138E7" w:rsidRDefault="004E53C2">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4.30 ‰ за поддържане чистотата на териториите за обществено ползване;</w:t>
      </w:r>
    </w:p>
    <w:p w14:paraId="000000F4" w14:textId="77777777" w:rsidR="00F138E7" w:rsidRDefault="00F138E7">
      <w:pPr>
        <w:pBdr>
          <w:top w:val="nil"/>
          <w:left w:val="nil"/>
          <w:bottom w:val="nil"/>
          <w:right w:val="nil"/>
          <w:between w:val="nil"/>
        </w:pBdr>
        <w:spacing w:after="0" w:line="276" w:lineRule="auto"/>
        <w:ind w:left="720"/>
        <w:jc w:val="both"/>
        <w:rPr>
          <w:rFonts w:ascii="Palatino Linotype" w:eastAsia="Palatino Linotype" w:hAnsi="Palatino Linotype" w:cs="Palatino Linotype"/>
          <w:color w:val="000000"/>
        </w:rPr>
      </w:pPr>
    </w:p>
    <w:p w14:paraId="000000F5" w14:textId="77777777" w:rsidR="00F138E7" w:rsidRDefault="004E53C2">
      <w:pPr>
        <w:numPr>
          <w:ilvl w:val="0"/>
          <w:numId w:val="20"/>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 чл.27, ал.1 - за имоти на граждани и жилищни имоти на предприятия:</w:t>
      </w:r>
    </w:p>
    <w:p w14:paraId="000000F6"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1.6 ‰  върху данъчната оценка на имотите. Разпределението е, както следва:</w:t>
      </w:r>
    </w:p>
    <w:p w14:paraId="000000F7" w14:textId="77777777" w:rsidR="00F138E7" w:rsidRDefault="004E53C2">
      <w:pPr>
        <w:numPr>
          <w:ilvl w:val="0"/>
          <w:numId w:val="11"/>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0.49 ‰ за сметосъбиране и сметоизвозване на битовите отпадъци;</w:t>
      </w:r>
    </w:p>
    <w:p w14:paraId="000000F8" w14:textId="77777777" w:rsidR="00F138E7" w:rsidRDefault="004E53C2">
      <w:pPr>
        <w:numPr>
          <w:ilvl w:val="0"/>
          <w:numId w:val="11"/>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0.42 ‰ за обезвреждане в депа или други съоръжения на битовите отпадъци;</w:t>
      </w:r>
    </w:p>
    <w:p w14:paraId="000000F9" w14:textId="77777777" w:rsidR="00F138E7" w:rsidRDefault="004E53C2">
      <w:pPr>
        <w:numPr>
          <w:ilvl w:val="0"/>
          <w:numId w:val="11"/>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0.69 ‰ за поддържане чистотата на териториите за обществено ползване.</w:t>
      </w:r>
    </w:p>
    <w:p w14:paraId="000000FA" w14:textId="77777777" w:rsidR="00F138E7" w:rsidRDefault="004E53C2">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Схемата за отговорност на домакинствата и на другите лица, които генерират подобни на битовите отпадъци включва всички потоци битови отпадъци (с изключение на МРО, които се управляват чрез Схемата „Разширена отговорност на производителя“), генерирани от домакинствата и от обекти, подобни на битовите. Не е необходимо схемата да разширява материалното си покритие, но е необходимо да се разширява териториалното покритие на системите за разделно събиране на потоците битови отпадъци, включени в „Схемата за отговорност на домакинствата и на другите лица, които генерират подобни на битовите отпадъци“ .</w:t>
      </w:r>
    </w:p>
    <w:p w14:paraId="000000FB" w14:textId="77777777" w:rsidR="00F138E7" w:rsidRDefault="00F138E7">
      <w:pPr>
        <w:spacing w:line="276" w:lineRule="auto"/>
        <w:jc w:val="both"/>
        <w:rPr>
          <w:rFonts w:ascii="Palatino Linotype" w:eastAsia="Palatino Linotype" w:hAnsi="Palatino Linotype" w:cs="Palatino Linotype"/>
        </w:rPr>
      </w:pPr>
    </w:p>
    <w:p w14:paraId="000000FC" w14:textId="77777777" w:rsidR="00F138E7" w:rsidRDefault="004E53C2">
      <w:pPr>
        <w:pBdr>
          <w:bottom w:val="single" w:sz="4" w:space="1" w:color="C55911"/>
        </w:pBd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4.7.3. Изводи и препоръки.</w:t>
      </w:r>
    </w:p>
    <w:p w14:paraId="000000FD" w14:textId="77777777" w:rsidR="00F138E7" w:rsidRDefault="004E53C2">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bookmarkStart w:id="6" w:name="_heading=h.3dy6vkm" w:colFirst="0" w:colLast="0"/>
      <w:bookmarkEnd w:id="6"/>
      <w:r>
        <w:rPr>
          <w:rFonts w:ascii="Palatino Linotype" w:eastAsia="Palatino Linotype" w:hAnsi="Palatino Linotype" w:cs="Palatino Linotype"/>
          <w:color w:val="000000"/>
        </w:rPr>
        <w:t xml:space="preserve"> На основата на изложената информация в анализа се правят основни изводи, че Столична община е изпълнила задължението си за прилагането на описаните по-горе принципи и схемата за отговорност на домакинствата и на другите лица, които генерират подобни на битовите отпадъци, като същевременно се идентифицират проблемите възникнали при прилагането им. Дейностите, подпомагани от общината на принципа „разширена отговорност на производителя” са обхванати изцяло, с изключение на един поток от масово разпространените отпадъци – излезли от употреба гуми, които остава извън системата за разделно събиране на МРО на територията на общината. Необходимо е общината да търси съдействие за организиране на тази дейност, чрез сключване на договори с организация по оползотворяване или други лица, притежаващи разрешително съгласно ЗУО, с цел обхващане на всички образувани от домакинствата масово разпространени отпадъци.</w:t>
      </w:r>
    </w:p>
    <w:p w14:paraId="000000FE" w14:textId="358D9EFA" w:rsidR="00F138E7" w:rsidRDefault="004E53C2" w:rsidP="00F758C8">
      <w:pPr>
        <w:numPr>
          <w:ilvl w:val="0"/>
          <w:numId w:val="12"/>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В общината се прилага напълно принципът „замърсителят плаща” относно строителните отпадъци и частично по отношение на услугите, свързани с битовите отпадъци поради технически проблеми, свързани с измерване на точното количество изхвърлени битови отпадъци, особено от домакинствата. Наредбата за определяне и администриране на местни такси и цени на услуги, предоставяни от Столична община не отразява последните изменения, съгласно Закона за местни данъци и такси отчитайки, че количеството битови отпадък е водеща основа за определяне на </w:t>
      </w:r>
      <w:r>
        <w:rPr>
          <w:rFonts w:ascii="Palatino Linotype" w:eastAsia="Palatino Linotype" w:hAnsi="Palatino Linotype" w:cs="Palatino Linotype"/>
        </w:rPr>
        <w:t>размера</w:t>
      </w:r>
      <w:r>
        <w:rPr>
          <w:rFonts w:ascii="Palatino Linotype" w:eastAsia="Palatino Linotype" w:hAnsi="Palatino Linotype" w:cs="Palatino Linotype"/>
          <w:color w:val="000000"/>
        </w:rPr>
        <w:t xml:space="preserve"> на такса битови отпадъци  (чл.67, ал.4 от ЗМДТ).</w:t>
      </w:r>
      <w:r w:rsidR="00F758C8">
        <w:rPr>
          <w:rFonts w:ascii="Palatino Linotype" w:eastAsia="Palatino Linotype" w:hAnsi="Palatino Linotype" w:cs="Palatino Linotype"/>
          <w:color w:val="000000"/>
        </w:rPr>
        <w:t xml:space="preserve"> </w:t>
      </w:r>
      <w:r w:rsidR="00F758C8" w:rsidRPr="00F758C8">
        <w:rPr>
          <w:rFonts w:ascii="Palatino Linotype" w:eastAsia="Palatino Linotype" w:hAnsi="Palatino Linotype" w:cs="Palatino Linotype"/>
          <w:color w:val="000000"/>
        </w:rPr>
        <w:t xml:space="preserve">Наредбата за определяне и администриране на местни такси и цени на </w:t>
      </w:r>
      <w:r w:rsidR="00F758C8" w:rsidRPr="00F758C8">
        <w:rPr>
          <w:rFonts w:ascii="Palatino Linotype" w:eastAsia="Palatino Linotype" w:hAnsi="Palatino Linotype" w:cs="Palatino Linotype"/>
          <w:color w:val="000000"/>
        </w:rPr>
        <w:lastRenderedPageBreak/>
        <w:t>услуги, предоставяни от Столична община следва да бъде приведена в съответствие с Наредбата по чл. 66, ал. 3, т. 1 от ЗМДТ, когато същата бъде приета от Министерски съвет</w:t>
      </w:r>
      <w:r w:rsidR="00F758C8">
        <w:rPr>
          <w:rFonts w:ascii="Palatino Linotype" w:eastAsia="Palatino Linotype" w:hAnsi="Palatino Linotype" w:cs="Palatino Linotype"/>
          <w:color w:val="000000"/>
        </w:rPr>
        <w:t>.</w:t>
      </w:r>
      <w:bookmarkStart w:id="7" w:name="_GoBack"/>
      <w:bookmarkEnd w:id="7"/>
    </w:p>
    <w:p w14:paraId="000000FF" w14:textId="77777777" w:rsidR="00F138E7" w:rsidRDefault="004E53C2">
      <w:pPr>
        <w:numPr>
          <w:ilvl w:val="0"/>
          <w:numId w:val="12"/>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rPr>
        <w:t>Препоръчително е местната нормативна уредба, имаща отношение към управлението на отпадъците периодично да бъде актуализирана, съобразно настъпващите промени в ЗУО и ЗМДТ.</w:t>
      </w:r>
    </w:p>
    <w:p w14:paraId="00000100" w14:textId="77777777" w:rsidR="00F138E7" w:rsidRDefault="00F138E7">
      <w:pPr>
        <w:spacing w:line="276" w:lineRule="auto"/>
        <w:jc w:val="both"/>
        <w:rPr>
          <w:rFonts w:ascii="Palatino Linotype" w:eastAsia="Palatino Linotype" w:hAnsi="Palatino Linotype" w:cs="Palatino Linotype"/>
        </w:rPr>
      </w:pPr>
    </w:p>
    <w:sectPr w:rsidR="00F138E7">
      <w:headerReference w:type="default" r:id="rId11"/>
      <w:footerReference w:type="default" r:id="rId12"/>
      <w:headerReference w:type="first" r:id="rId13"/>
      <w:pgSz w:w="11906" w:h="16838"/>
      <w:pgMar w:top="851" w:right="1417" w:bottom="1417" w:left="1417"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FA7CD" w14:textId="77777777" w:rsidR="00C96575" w:rsidRDefault="00C96575">
      <w:pPr>
        <w:spacing w:after="0" w:line="240" w:lineRule="auto"/>
      </w:pPr>
      <w:r>
        <w:separator/>
      </w:r>
    </w:p>
  </w:endnote>
  <w:endnote w:type="continuationSeparator" w:id="0">
    <w:p w14:paraId="4FA90FB8" w14:textId="77777777" w:rsidR="00C96575" w:rsidRDefault="00C96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4" w14:textId="45826BD7" w:rsidR="00F138E7" w:rsidRDefault="004E53C2">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F758C8">
      <w:rPr>
        <w:noProof/>
        <w:color w:val="000000"/>
      </w:rPr>
      <w:t>18</w:t>
    </w:r>
    <w:r>
      <w:rPr>
        <w:color w:val="000000"/>
      </w:rPr>
      <w:fldChar w:fldCharType="end"/>
    </w:r>
  </w:p>
  <w:p w14:paraId="00000105" w14:textId="77777777" w:rsidR="00F138E7" w:rsidRDefault="00F138E7">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BE44C" w14:textId="77777777" w:rsidR="00C96575" w:rsidRDefault="00C96575">
      <w:pPr>
        <w:spacing w:after="0" w:line="240" w:lineRule="auto"/>
      </w:pPr>
      <w:r>
        <w:separator/>
      </w:r>
    </w:p>
  </w:footnote>
  <w:footnote w:type="continuationSeparator" w:id="0">
    <w:p w14:paraId="2DA829C9" w14:textId="77777777" w:rsidR="00C96575" w:rsidRDefault="00C96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2" w14:textId="77777777" w:rsidR="00F138E7" w:rsidRDefault="004E53C2">
    <w:pPr>
      <w:tabs>
        <w:tab w:val="center" w:pos="4536"/>
        <w:tab w:val="right" w:pos="9072"/>
      </w:tabs>
      <w:spacing w:after="0" w:line="240" w:lineRule="auto"/>
    </w:pPr>
    <w:r>
      <w:rPr>
        <w:rFonts w:ascii="Palatino Linotype" w:eastAsia="Palatino Linotype" w:hAnsi="Palatino Linotype" w:cs="Palatino Linotype"/>
        <w:b/>
        <w:noProof/>
        <w:lang w:val="en-US" w:eastAsia="en-US"/>
      </w:rPr>
      <w:drawing>
        <wp:inline distT="0" distB="0" distL="0" distR="0" wp14:anchorId="6FDBAEA4" wp14:editId="59C7CF66">
          <wp:extent cx="5759450" cy="83197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p w14:paraId="00000103" w14:textId="77777777" w:rsidR="00F138E7" w:rsidRDefault="00F138E7">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01" w14:textId="77777777" w:rsidR="00F138E7" w:rsidRDefault="004E53C2">
    <w:pPr>
      <w:pBdr>
        <w:top w:val="nil"/>
        <w:left w:val="nil"/>
        <w:bottom w:val="nil"/>
        <w:right w:val="nil"/>
        <w:between w:val="nil"/>
      </w:pBdr>
      <w:tabs>
        <w:tab w:val="center" w:pos="4536"/>
        <w:tab w:val="right" w:pos="9072"/>
      </w:tabs>
      <w:spacing w:after="0" w:line="240" w:lineRule="auto"/>
      <w:rPr>
        <w:color w:val="000000"/>
      </w:rPr>
    </w:pPr>
    <w:r>
      <w:rPr>
        <w:rFonts w:ascii="Palatino Linotype" w:eastAsia="Palatino Linotype" w:hAnsi="Palatino Linotype" w:cs="Palatino Linotype"/>
        <w:b/>
        <w:noProof/>
        <w:color w:val="000000"/>
        <w:lang w:val="en-US" w:eastAsia="en-US"/>
      </w:rPr>
      <w:drawing>
        <wp:inline distT="0" distB="0" distL="0" distR="0" wp14:anchorId="616C65C7" wp14:editId="16896873">
          <wp:extent cx="5759450" cy="83197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E191C"/>
    <w:multiLevelType w:val="multilevel"/>
    <w:tmpl w:val="E5D814A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76690D"/>
    <w:multiLevelType w:val="multilevel"/>
    <w:tmpl w:val="B50AD9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7956C0"/>
    <w:multiLevelType w:val="multilevel"/>
    <w:tmpl w:val="740C5E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3D527A"/>
    <w:multiLevelType w:val="multilevel"/>
    <w:tmpl w:val="A90E31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29113D"/>
    <w:multiLevelType w:val="multilevel"/>
    <w:tmpl w:val="1414A6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D0E4938"/>
    <w:multiLevelType w:val="multilevel"/>
    <w:tmpl w:val="6F1C29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ED45201"/>
    <w:multiLevelType w:val="multilevel"/>
    <w:tmpl w:val="712ADFFA"/>
    <w:lvl w:ilvl="0">
      <w:start w:val="1"/>
      <w:numFmt w:val="bullet"/>
      <w:lvlText w:val="●"/>
      <w:lvlJc w:val="left"/>
      <w:pPr>
        <w:ind w:left="740" w:hanging="360"/>
      </w:pPr>
      <w:rPr>
        <w:rFonts w:ascii="Noto Sans Symbols" w:eastAsia="Noto Sans Symbols" w:hAnsi="Noto Sans Symbols" w:cs="Noto Sans Symbols"/>
      </w:rPr>
    </w:lvl>
    <w:lvl w:ilvl="1">
      <w:start w:val="1"/>
      <w:numFmt w:val="bullet"/>
      <w:lvlText w:val="o"/>
      <w:lvlJc w:val="left"/>
      <w:pPr>
        <w:ind w:left="1460" w:hanging="360"/>
      </w:pPr>
      <w:rPr>
        <w:rFonts w:ascii="Courier New" w:eastAsia="Courier New" w:hAnsi="Courier New" w:cs="Courier New"/>
      </w:rPr>
    </w:lvl>
    <w:lvl w:ilvl="2">
      <w:start w:val="1"/>
      <w:numFmt w:val="bullet"/>
      <w:lvlText w:val="▪"/>
      <w:lvlJc w:val="left"/>
      <w:pPr>
        <w:ind w:left="2180" w:hanging="360"/>
      </w:pPr>
      <w:rPr>
        <w:rFonts w:ascii="Noto Sans Symbols" w:eastAsia="Noto Sans Symbols" w:hAnsi="Noto Sans Symbols" w:cs="Noto Sans Symbols"/>
      </w:rPr>
    </w:lvl>
    <w:lvl w:ilvl="3">
      <w:start w:val="1"/>
      <w:numFmt w:val="bullet"/>
      <w:lvlText w:val="●"/>
      <w:lvlJc w:val="left"/>
      <w:pPr>
        <w:ind w:left="2900" w:hanging="360"/>
      </w:pPr>
      <w:rPr>
        <w:rFonts w:ascii="Noto Sans Symbols" w:eastAsia="Noto Sans Symbols" w:hAnsi="Noto Sans Symbols" w:cs="Noto Sans Symbols"/>
      </w:rPr>
    </w:lvl>
    <w:lvl w:ilvl="4">
      <w:start w:val="1"/>
      <w:numFmt w:val="bullet"/>
      <w:lvlText w:val="o"/>
      <w:lvlJc w:val="left"/>
      <w:pPr>
        <w:ind w:left="3620" w:hanging="360"/>
      </w:pPr>
      <w:rPr>
        <w:rFonts w:ascii="Courier New" w:eastAsia="Courier New" w:hAnsi="Courier New" w:cs="Courier New"/>
      </w:rPr>
    </w:lvl>
    <w:lvl w:ilvl="5">
      <w:start w:val="1"/>
      <w:numFmt w:val="bullet"/>
      <w:lvlText w:val="▪"/>
      <w:lvlJc w:val="left"/>
      <w:pPr>
        <w:ind w:left="4340" w:hanging="360"/>
      </w:pPr>
      <w:rPr>
        <w:rFonts w:ascii="Noto Sans Symbols" w:eastAsia="Noto Sans Symbols" w:hAnsi="Noto Sans Symbols" w:cs="Noto Sans Symbols"/>
      </w:rPr>
    </w:lvl>
    <w:lvl w:ilvl="6">
      <w:start w:val="1"/>
      <w:numFmt w:val="bullet"/>
      <w:lvlText w:val="●"/>
      <w:lvlJc w:val="left"/>
      <w:pPr>
        <w:ind w:left="5060" w:hanging="360"/>
      </w:pPr>
      <w:rPr>
        <w:rFonts w:ascii="Noto Sans Symbols" w:eastAsia="Noto Sans Symbols" w:hAnsi="Noto Sans Symbols" w:cs="Noto Sans Symbols"/>
      </w:rPr>
    </w:lvl>
    <w:lvl w:ilvl="7">
      <w:start w:val="1"/>
      <w:numFmt w:val="bullet"/>
      <w:lvlText w:val="o"/>
      <w:lvlJc w:val="left"/>
      <w:pPr>
        <w:ind w:left="5780" w:hanging="360"/>
      </w:pPr>
      <w:rPr>
        <w:rFonts w:ascii="Courier New" w:eastAsia="Courier New" w:hAnsi="Courier New" w:cs="Courier New"/>
      </w:rPr>
    </w:lvl>
    <w:lvl w:ilvl="8">
      <w:start w:val="1"/>
      <w:numFmt w:val="bullet"/>
      <w:lvlText w:val="▪"/>
      <w:lvlJc w:val="left"/>
      <w:pPr>
        <w:ind w:left="6500" w:hanging="360"/>
      </w:pPr>
      <w:rPr>
        <w:rFonts w:ascii="Noto Sans Symbols" w:eastAsia="Noto Sans Symbols" w:hAnsi="Noto Sans Symbols" w:cs="Noto Sans Symbols"/>
      </w:rPr>
    </w:lvl>
  </w:abstractNum>
  <w:abstractNum w:abstractNumId="7" w15:restartNumberingAfterBreak="0">
    <w:nsid w:val="237745D5"/>
    <w:multiLevelType w:val="multilevel"/>
    <w:tmpl w:val="939AFA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44B0F34"/>
    <w:multiLevelType w:val="multilevel"/>
    <w:tmpl w:val="CBDA1F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617047C"/>
    <w:multiLevelType w:val="multilevel"/>
    <w:tmpl w:val="5C58F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B8379CF"/>
    <w:multiLevelType w:val="multilevel"/>
    <w:tmpl w:val="9918CE4E"/>
    <w:lvl w:ilvl="0">
      <w:start w:val="1"/>
      <w:numFmt w:val="bullet"/>
      <w:lvlText w:val="-"/>
      <w:lvlJc w:val="left"/>
      <w:pPr>
        <w:ind w:left="720" w:hanging="360"/>
      </w:pPr>
      <w:rPr>
        <w:rFonts w:ascii="Palatino Linotype" w:eastAsia="Palatino Linotype" w:hAnsi="Palatino Linotype" w:cs="Palatino Linotyp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D6F115C"/>
    <w:multiLevelType w:val="multilevel"/>
    <w:tmpl w:val="6FEE82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DAC3B46"/>
    <w:multiLevelType w:val="multilevel"/>
    <w:tmpl w:val="372289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BF0C2B"/>
    <w:multiLevelType w:val="multilevel"/>
    <w:tmpl w:val="E8A0DA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937020A"/>
    <w:multiLevelType w:val="multilevel"/>
    <w:tmpl w:val="ED1A9D34"/>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5" w15:restartNumberingAfterBreak="0">
    <w:nsid w:val="50DB185F"/>
    <w:multiLevelType w:val="multilevel"/>
    <w:tmpl w:val="432A00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DE73124"/>
    <w:multiLevelType w:val="multilevel"/>
    <w:tmpl w:val="E4205C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D91B62"/>
    <w:multiLevelType w:val="multilevel"/>
    <w:tmpl w:val="7AF481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DDE3221"/>
    <w:multiLevelType w:val="multilevel"/>
    <w:tmpl w:val="C83E7F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BCD3302"/>
    <w:multiLevelType w:val="multilevel"/>
    <w:tmpl w:val="319C97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9"/>
  </w:num>
  <w:num w:numId="3">
    <w:abstractNumId w:val="1"/>
  </w:num>
  <w:num w:numId="4">
    <w:abstractNumId w:val="11"/>
  </w:num>
  <w:num w:numId="5">
    <w:abstractNumId w:val="14"/>
  </w:num>
  <w:num w:numId="6">
    <w:abstractNumId w:val="10"/>
  </w:num>
  <w:num w:numId="7">
    <w:abstractNumId w:val="3"/>
  </w:num>
  <w:num w:numId="8">
    <w:abstractNumId w:val="13"/>
  </w:num>
  <w:num w:numId="9">
    <w:abstractNumId w:val="0"/>
  </w:num>
  <w:num w:numId="10">
    <w:abstractNumId w:val="5"/>
  </w:num>
  <w:num w:numId="11">
    <w:abstractNumId w:val="18"/>
  </w:num>
  <w:num w:numId="12">
    <w:abstractNumId w:val="15"/>
  </w:num>
  <w:num w:numId="13">
    <w:abstractNumId w:val="16"/>
  </w:num>
  <w:num w:numId="14">
    <w:abstractNumId w:val="8"/>
  </w:num>
  <w:num w:numId="15">
    <w:abstractNumId w:val="17"/>
  </w:num>
  <w:num w:numId="16">
    <w:abstractNumId w:val="6"/>
  </w:num>
  <w:num w:numId="17">
    <w:abstractNumId w:val="2"/>
  </w:num>
  <w:num w:numId="18">
    <w:abstractNumId w:val="19"/>
  </w:num>
  <w:num w:numId="19">
    <w:abstractNumId w:val="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E7"/>
    <w:rsid w:val="00127D76"/>
    <w:rsid w:val="004E53C2"/>
    <w:rsid w:val="007B1A1E"/>
    <w:rsid w:val="00C96575"/>
    <w:rsid w:val="00D56716"/>
    <w:rsid w:val="00D87EDE"/>
    <w:rsid w:val="00F138E7"/>
    <w:rsid w:val="00F758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ACAAE"/>
  <w15:docId w15:val="{AC79E1EE-468D-4186-B28E-CBBD4D2C7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823"/>
    <w:rPr>
      <w:lang w:eastAsia="zh-CN"/>
    </w:rPr>
  </w:style>
  <w:style w:type="paragraph" w:styleId="Heading1">
    <w:name w:val="heading 1"/>
    <w:basedOn w:val="Normal"/>
    <w:next w:val="Normal"/>
    <w:link w:val="Heading1Char"/>
    <w:uiPriority w:val="9"/>
    <w:qFormat/>
    <w:rsid w:val="007C1182"/>
    <w:pPr>
      <w:keepNext/>
      <w:keepLines/>
      <w:widowControl w:val="0"/>
      <w:spacing w:before="240" w:after="0" w:line="240" w:lineRule="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2">
    <w:name w:val="heading 2"/>
    <w:basedOn w:val="Normal"/>
    <w:next w:val="Normal"/>
    <w:link w:val="Heading2Char"/>
    <w:uiPriority w:val="9"/>
    <w:semiHidden/>
    <w:unhideWhenUsed/>
    <w:qFormat/>
    <w:rsid w:val="007C1182"/>
    <w:pPr>
      <w:keepNext/>
      <w:keepLines/>
      <w:widowControl w:val="0"/>
      <w:spacing w:before="40" w:after="0" w:line="240" w:lineRule="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basedOn w:val="Normal"/>
    <w:link w:val="Heading3Char"/>
    <w:uiPriority w:val="9"/>
    <w:semiHidden/>
    <w:unhideWhenUsed/>
    <w:qFormat/>
    <w:rsid w:val="007C1182"/>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paragraph" w:styleId="Heading4">
    <w:name w:val="heading 4"/>
    <w:basedOn w:val="Normal"/>
    <w:next w:val="Normal"/>
    <w:link w:val="Heading4Char"/>
    <w:uiPriority w:val="9"/>
    <w:semiHidden/>
    <w:unhideWhenUsed/>
    <w:qFormat/>
    <w:rsid w:val="007C1182"/>
    <w:pPr>
      <w:keepNext/>
      <w:keepLines/>
      <w:widowControl w:val="0"/>
      <w:spacing w:before="40" w:after="0" w:line="240" w:lineRule="auto"/>
      <w:outlineLvl w:val="3"/>
    </w:pPr>
    <w:rPr>
      <w:rFonts w:asciiTheme="majorHAnsi" w:eastAsiaTheme="majorEastAsia" w:hAnsiTheme="majorHAnsi" w:cstheme="majorBidi"/>
      <w:i/>
      <w:iCs/>
      <w:color w:val="2F5496" w:themeColor="accent1" w:themeShade="BF"/>
      <w:lang w:val="en-US" w:eastAsia="en-US"/>
    </w:rPr>
  </w:style>
  <w:style w:type="paragraph" w:styleId="Heading5">
    <w:name w:val="heading 5"/>
    <w:basedOn w:val="Normal"/>
    <w:next w:val="Normal"/>
    <w:link w:val="Heading5Char"/>
    <w:uiPriority w:val="9"/>
    <w:semiHidden/>
    <w:unhideWhenUsed/>
    <w:qFormat/>
    <w:rsid w:val="007C1182"/>
    <w:pPr>
      <w:keepNext/>
      <w:keepLines/>
      <w:widowControl w:val="0"/>
      <w:spacing w:before="40" w:after="0" w:line="240" w:lineRule="auto"/>
      <w:outlineLvl w:val="4"/>
    </w:pPr>
    <w:rPr>
      <w:rFonts w:ascii="Calibri Light" w:eastAsia="Times New Roman" w:hAnsi="Calibri Light" w:cs="Times New Roman"/>
      <w:color w:val="2E74B5"/>
      <w:lang w:eastAsia="en-US"/>
    </w:rPr>
  </w:style>
  <w:style w:type="paragraph" w:styleId="Heading6">
    <w:name w:val="heading 6"/>
    <w:basedOn w:val="Normal"/>
    <w:next w:val="Normal"/>
    <w:link w:val="Heading6Char"/>
    <w:uiPriority w:val="9"/>
    <w:semiHidden/>
    <w:unhideWhenUsed/>
    <w:qFormat/>
    <w:rsid w:val="007C1182"/>
    <w:pPr>
      <w:keepNext/>
      <w:keepLines/>
      <w:widowControl w:val="0"/>
      <w:spacing w:before="40" w:after="0" w:line="240" w:lineRule="auto"/>
      <w:outlineLvl w:val="5"/>
    </w:pPr>
    <w:rPr>
      <w:rFonts w:ascii="Calibri Light" w:eastAsia="Times New Roman" w:hAnsi="Calibri Light" w:cs="Times New Roman"/>
      <w:color w:val="1F4D78"/>
      <w:lang w:eastAsia="en-US"/>
    </w:rPr>
  </w:style>
  <w:style w:type="paragraph" w:styleId="Heading7">
    <w:name w:val="heading 7"/>
    <w:basedOn w:val="Normal"/>
    <w:next w:val="Normal"/>
    <w:link w:val="Heading7Char"/>
    <w:uiPriority w:val="9"/>
    <w:semiHidden/>
    <w:unhideWhenUsed/>
    <w:qFormat/>
    <w:rsid w:val="007C1182"/>
    <w:pPr>
      <w:keepNext/>
      <w:keepLines/>
      <w:widowControl w:val="0"/>
      <w:spacing w:before="40" w:after="0" w:line="240" w:lineRule="auto"/>
      <w:outlineLvl w:val="6"/>
    </w:pPr>
    <w:rPr>
      <w:rFonts w:ascii="Calibri Light" w:eastAsia="Times New Roman" w:hAnsi="Calibri Light" w:cs="Times New Roman"/>
      <w:i/>
      <w:iCs/>
      <w:color w:val="1F4D78"/>
      <w:lang w:eastAsia="en-US"/>
    </w:rPr>
  </w:style>
  <w:style w:type="paragraph" w:styleId="Heading8">
    <w:name w:val="heading 8"/>
    <w:basedOn w:val="Normal"/>
    <w:next w:val="Normal"/>
    <w:link w:val="Heading8Char"/>
    <w:uiPriority w:val="9"/>
    <w:semiHidden/>
    <w:unhideWhenUsed/>
    <w:qFormat/>
    <w:rsid w:val="007C1182"/>
    <w:pPr>
      <w:keepNext/>
      <w:keepLines/>
      <w:widowControl w:val="0"/>
      <w:spacing w:before="40" w:after="0" w:line="240" w:lineRule="auto"/>
      <w:outlineLvl w:val="7"/>
    </w:pPr>
    <w:rPr>
      <w:rFonts w:ascii="Calibri Light" w:eastAsia="Times New Roman" w:hAnsi="Calibri Light" w:cs="Times New Roman"/>
      <w:color w:val="272727"/>
      <w:sz w:val="21"/>
      <w:szCs w:val="21"/>
      <w:lang w:eastAsia="en-US"/>
    </w:rPr>
  </w:style>
  <w:style w:type="paragraph" w:styleId="Heading9">
    <w:name w:val="heading 9"/>
    <w:basedOn w:val="Normal"/>
    <w:next w:val="Normal"/>
    <w:link w:val="Heading9Char"/>
    <w:uiPriority w:val="9"/>
    <w:semiHidden/>
    <w:unhideWhenUsed/>
    <w:qFormat/>
    <w:rsid w:val="007C1182"/>
    <w:pPr>
      <w:keepNext/>
      <w:keepLines/>
      <w:widowControl w:val="0"/>
      <w:spacing w:before="40" w:after="0" w:line="240" w:lineRule="auto"/>
      <w:outlineLvl w:val="8"/>
    </w:pPr>
    <w:rPr>
      <w:rFonts w:ascii="Calibri Light" w:eastAsia="Times New Roman" w:hAnsi="Calibri Light" w:cs="Times New Roman"/>
      <w:i/>
      <w:iCs/>
      <w:color w:val="272727"/>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rsid w:val="007C1182"/>
    <w:pPr>
      <w:keepNext/>
      <w:keepLines/>
      <w:spacing w:before="480" w:after="120"/>
    </w:pPr>
    <w:rPr>
      <w:b/>
      <w:sz w:val="72"/>
      <w:szCs w:val="72"/>
      <w:lang w:eastAsia="en-US"/>
    </w:rPr>
  </w:style>
  <w:style w:type="paragraph" w:styleId="Header">
    <w:name w:val="header"/>
    <w:basedOn w:val="Normal"/>
    <w:link w:val="HeaderChar"/>
    <w:uiPriority w:val="99"/>
    <w:unhideWhenUsed/>
    <w:rsid w:val="009D2823"/>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2823"/>
    <w:rPr>
      <w:lang w:eastAsia="zh-CN"/>
    </w:rPr>
  </w:style>
  <w:style w:type="paragraph" w:styleId="Footer">
    <w:name w:val="footer"/>
    <w:basedOn w:val="Normal"/>
    <w:link w:val="FooterChar"/>
    <w:uiPriority w:val="99"/>
    <w:unhideWhenUsed/>
    <w:rsid w:val="009D2823"/>
    <w:pPr>
      <w:tabs>
        <w:tab w:val="center" w:pos="4536"/>
        <w:tab w:val="right" w:pos="9072"/>
      </w:tabs>
      <w:spacing w:after="0" w:line="240" w:lineRule="auto"/>
    </w:pPr>
  </w:style>
  <w:style w:type="character" w:customStyle="1" w:styleId="FooterChar">
    <w:name w:val="Footer Char"/>
    <w:basedOn w:val="DefaultParagraphFont"/>
    <w:link w:val="Footer"/>
    <w:uiPriority w:val="99"/>
    <w:rsid w:val="009D2823"/>
    <w:rPr>
      <w:lang w:eastAsia="zh-CN"/>
    </w:rPr>
  </w:style>
  <w:style w:type="paragraph" w:styleId="ListParagraph">
    <w:name w:val="List Paragraph"/>
    <w:basedOn w:val="Normal"/>
    <w:uiPriority w:val="34"/>
    <w:qFormat/>
    <w:rsid w:val="009D2823"/>
    <w:pPr>
      <w:ind w:left="720"/>
      <w:contextualSpacing/>
    </w:pPr>
  </w:style>
  <w:style w:type="character" w:customStyle="1" w:styleId="Heading1Char">
    <w:name w:val="Heading 1 Char"/>
    <w:basedOn w:val="DefaultParagraphFont"/>
    <w:link w:val="Heading1"/>
    <w:uiPriority w:val="9"/>
    <w:rsid w:val="007C1182"/>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7C1182"/>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rsid w:val="007C1182"/>
    <w:rPr>
      <w:rFonts w:ascii="Times New Roman" w:eastAsia="Times New Roman" w:hAnsi="Times New Roman" w:cs="Times New Roman"/>
      <w:b/>
      <w:bCs/>
      <w:sz w:val="27"/>
      <w:szCs w:val="27"/>
      <w:lang w:eastAsia="bg-BG"/>
    </w:rPr>
  </w:style>
  <w:style w:type="character" w:customStyle="1" w:styleId="Heading4Char">
    <w:name w:val="Heading 4 Char"/>
    <w:basedOn w:val="DefaultParagraphFont"/>
    <w:link w:val="Heading4"/>
    <w:uiPriority w:val="9"/>
    <w:rsid w:val="007C1182"/>
    <w:rPr>
      <w:rFonts w:asciiTheme="majorHAnsi" w:eastAsiaTheme="majorEastAsia" w:hAnsiTheme="majorHAnsi"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7C1182"/>
    <w:rPr>
      <w:rFonts w:ascii="Calibri Light" w:eastAsia="Times New Roman" w:hAnsi="Calibri Light" w:cs="Times New Roman"/>
      <w:color w:val="2E74B5"/>
    </w:rPr>
  </w:style>
  <w:style w:type="character" w:customStyle="1" w:styleId="Heading6Char">
    <w:name w:val="Heading 6 Char"/>
    <w:basedOn w:val="DefaultParagraphFont"/>
    <w:link w:val="Heading6"/>
    <w:uiPriority w:val="9"/>
    <w:semiHidden/>
    <w:rsid w:val="007C1182"/>
    <w:rPr>
      <w:rFonts w:ascii="Calibri Light" w:eastAsia="Times New Roman" w:hAnsi="Calibri Light" w:cs="Times New Roman"/>
      <w:color w:val="1F4D78"/>
    </w:rPr>
  </w:style>
  <w:style w:type="character" w:customStyle="1" w:styleId="Heading7Char">
    <w:name w:val="Heading 7 Char"/>
    <w:basedOn w:val="DefaultParagraphFont"/>
    <w:link w:val="Heading7"/>
    <w:uiPriority w:val="9"/>
    <w:semiHidden/>
    <w:rsid w:val="007C1182"/>
    <w:rPr>
      <w:rFonts w:ascii="Calibri Light" w:eastAsia="Times New Roman" w:hAnsi="Calibri Light" w:cs="Times New Roman"/>
      <w:i/>
      <w:iCs/>
      <w:color w:val="1F4D78"/>
    </w:rPr>
  </w:style>
  <w:style w:type="character" w:customStyle="1" w:styleId="Heading8Char">
    <w:name w:val="Heading 8 Char"/>
    <w:basedOn w:val="DefaultParagraphFont"/>
    <w:link w:val="Heading8"/>
    <w:uiPriority w:val="9"/>
    <w:semiHidden/>
    <w:rsid w:val="007C1182"/>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semiHidden/>
    <w:rsid w:val="007C1182"/>
    <w:rPr>
      <w:rFonts w:ascii="Calibri Light" w:eastAsia="Times New Roman" w:hAnsi="Calibri Light" w:cs="Times New Roman"/>
      <w:i/>
      <w:iCs/>
      <w:color w:val="272727"/>
      <w:sz w:val="21"/>
      <w:szCs w:val="21"/>
    </w:rPr>
  </w:style>
  <w:style w:type="character" w:styleId="CommentReference">
    <w:name w:val="annotation reference"/>
    <w:basedOn w:val="DefaultParagraphFont"/>
    <w:uiPriority w:val="99"/>
    <w:semiHidden/>
    <w:unhideWhenUsed/>
    <w:rsid w:val="007C1182"/>
    <w:rPr>
      <w:sz w:val="16"/>
      <w:szCs w:val="16"/>
    </w:rPr>
  </w:style>
  <w:style w:type="paragraph" w:styleId="CommentText">
    <w:name w:val="annotation text"/>
    <w:basedOn w:val="Normal"/>
    <w:link w:val="CommentTextChar"/>
    <w:uiPriority w:val="99"/>
    <w:semiHidden/>
    <w:unhideWhenUsed/>
    <w:rsid w:val="007C1182"/>
    <w:pPr>
      <w:spacing w:line="240" w:lineRule="auto"/>
    </w:pPr>
    <w:rPr>
      <w:sz w:val="20"/>
      <w:szCs w:val="20"/>
      <w:lang w:eastAsia="en-US"/>
    </w:rPr>
  </w:style>
  <w:style w:type="character" w:customStyle="1" w:styleId="CommentTextChar">
    <w:name w:val="Comment Text Char"/>
    <w:basedOn w:val="DefaultParagraphFont"/>
    <w:link w:val="CommentText"/>
    <w:uiPriority w:val="99"/>
    <w:semiHidden/>
    <w:rsid w:val="007C1182"/>
    <w:rPr>
      <w:sz w:val="20"/>
      <w:szCs w:val="20"/>
    </w:rPr>
  </w:style>
  <w:style w:type="character" w:customStyle="1" w:styleId="a">
    <w:name w:val="Основной текст_"/>
    <w:basedOn w:val="DefaultParagraphFont"/>
    <w:link w:val="1"/>
    <w:uiPriority w:val="99"/>
    <w:rsid w:val="007C1182"/>
    <w:rPr>
      <w:rFonts w:ascii="Times New Roman" w:hAnsi="Times New Roman" w:cs="Times New Roman"/>
      <w:shd w:val="clear" w:color="auto" w:fill="FFFFFF"/>
    </w:rPr>
  </w:style>
  <w:style w:type="paragraph" w:customStyle="1" w:styleId="1">
    <w:name w:val="Основной текст1"/>
    <w:basedOn w:val="Normal"/>
    <w:link w:val="a"/>
    <w:uiPriority w:val="99"/>
    <w:rsid w:val="007C1182"/>
    <w:pPr>
      <w:widowControl w:val="0"/>
      <w:shd w:val="clear" w:color="auto" w:fill="FFFFFF"/>
      <w:spacing w:before="540" w:after="600" w:line="240" w:lineRule="atLeast"/>
      <w:ind w:hanging="660"/>
    </w:pPr>
    <w:rPr>
      <w:rFonts w:ascii="Times New Roman" w:hAnsi="Times New Roman" w:cs="Times New Roman"/>
      <w:lang w:eastAsia="en-US"/>
    </w:rPr>
  </w:style>
  <w:style w:type="paragraph" w:styleId="BalloonText">
    <w:name w:val="Balloon Text"/>
    <w:basedOn w:val="Normal"/>
    <w:link w:val="BalloonTextChar"/>
    <w:uiPriority w:val="99"/>
    <w:semiHidden/>
    <w:unhideWhenUsed/>
    <w:rsid w:val="007C1182"/>
    <w:pPr>
      <w:widowControl w:val="0"/>
      <w:spacing w:after="0" w:line="240" w:lineRule="auto"/>
    </w:pPr>
    <w:rPr>
      <w:rFonts w:ascii="Segoe U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7C1182"/>
    <w:rPr>
      <w:rFonts w:ascii="Segoe UI"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7C1182"/>
    <w:pPr>
      <w:widowControl w:val="0"/>
      <w:spacing w:after="0"/>
    </w:pPr>
    <w:rPr>
      <w:b/>
      <w:bCs/>
      <w:lang w:val="en-US"/>
    </w:rPr>
  </w:style>
  <w:style w:type="character" w:customStyle="1" w:styleId="CommentSubjectChar">
    <w:name w:val="Comment Subject Char"/>
    <w:basedOn w:val="CommentTextChar"/>
    <w:link w:val="CommentSubject"/>
    <w:uiPriority w:val="99"/>
    <w:semiHidden/>
    <w:rsid w:val="007C1182"/>
    <w:rPr>
      <w:b/>
      <w:bCs/>
      <w:sz w:val="20"/>
      <w:szCs w:val="20"/>
      <w:lang w:val="en-US"/>
    </w:rPr>
  </w:style>
  <w:style w:type="character" w:styleId="Hyperlink">
    <w:name w:val="Hyperlink"/>
    <w:basedOn w:val="DefaultParagraphFont"/>
    <w:uiPriority w:val="99"/>
    <w:rsid w:val="007C1182"/>
    <w:rPr>
      <w:color w:val="0066CC"/>
      <w:u w:val="single"/>
    </w:rPr>
  </w:style>
  <w:style w:type="character" w:customStyle="1" w:styleId="Bodytext18">
    <w:name w:val="Body text (18)_"/>
    <w:basedOn w:val="DefaultParagraphFont"/>
    <w:link w:val="Bodytext181"/>
    <w:uiPriority w:val="99"/>
    <w:rsid w:val="007C1182"/>
    <w:rPr>
      <w:rFonts w:ascii="Times New Roman" w:hAnsi="Times New Roman" w:cs="Times New Roman"/>
      <w:b/>
      <w:bCs/>
      <w:sz w:val="23"/>
      <w:szCs w:val="23"/>
      <w:shd w:val="clear" w:color="auto" w:fill="FFFFFF"/>
    </w:rPr>
  </w:style>
  <w:style w:type="character" w:customStyle="1" w:styleId="Bodytext180">
    <w:name w:val="Body text (18)"/>
    <w:basedOn w:val="Bodytext18"/>
    <w:uiPriority w:val="99"/>
    <w:rsid w:val="007C1182"/>
    <w:rPr>
      <w:rFonts w:ascii="Times New Roman" w:hAnsi="Times New Roman" w:cs="Times New Roman"/>
      <w:b/>
      <w:bCs/>
      <w:sz w:val="23"/>
      <w:szCs w:val="23"/>
      <w:u w:val="single"/>
      <w:shd w:val="clear" w:color="auto" w:fill="FFFFFF"/>
      <w:lang w:val="en-US" w:eastAsia="en-US"/>
    </w:rPr>
  </w:style>
  <w:style w:type="character" w:customStyle="1" w:styleId="Bodytext183">
    <w:name w:val="Body text (18)3"/>
    <w:basedOn w:val="Bodytext18"/>
    <w:uiPriority w:val="99"/>
    <w:rsid w:val="007C1182"/>
    <w:rPr>
      <w:rFonts w:ascii="Times New Roman" w:hAnsi="Times New Roman" w:cs="Times New Roman"/>
      <w:b/>
      <w:bCs/>
      <w:sz w:val="23"/>
      <w:szCs w:val="23"/>
      <w:shd w:val="clear" w:color="auto" w:fill="FFFFFF"/>
      <w:lang w:val="en-US" w:eastAsia="en-US"/>
    </w:rPr>
  </w:style>
  <w:style w:type="paragraph" w:customStyle="1" w:styleId="Bodytext181">
    <w:name w:val="Body text (18)1"/>
    <w:basedOn w:val="Normal"/>
    <w:link w:val="Bodytext18"/>
    <w:uiPriority w:val="99"/>
    <w:rsid w:val="007C1182"/>
    <w:pPr>
      <w:widowControl w:val="0"/>
      <w:shd w:val="clear" w:color="auto" w:fill="FFFFFF"/>
      <w:spacing w:after="240" w:line="278" w:lineRule="exact"/>
      <w:jc w:val="center"/>
    </w:pPr>
    <w:rPr>
      <w:rFonts w:ascii="Times New Roman" w:hAnsi="Times New Roman" w:cs="Times New Roman"/>
      <w:b/>
      <w:bCs/>
      <w:sz w:val="23"/>
      <w:szCs w:val="23"/>
      <w:lang w:eastAsia="en-US"/>
    </w:rPr>
  </w:style>
  <w:style w:type="paragraph" w:styleId="NoSpacing">
    <w:name w:val="No Spacing"/>
    <w:uiPriority w:val="1"/>
    <w:qFormat/>
    <w:rsid w:val="007C1182"/>
    <w:pPr>
      <w:spacing w:after="0" w:line="240" w:lineRule="auto"/>
    </w:pPr>
  </w:style>
  <w:style w:type="character" w:customStyle="1" w:styleId="Bodytext8">
    <w:name w:val="Body text (8)_"/>
    <w:basedOn w:val="DefaultParagraphFont"/>
    <w:link w:val="Bodytext80"/>
    <w:uiPriority w:val="99"/>
    <w:rsid w:val="007C1182"/>
    <w:rPr>
      <w:rFonts w:ascii="Times New Roman" w:hAnsi="Times New Roman" w:cs="Times New Roman"/>
      <w:sz w:val="21"/>
      <w:szCs w:val="21"/>
      <w:shd w:val="clear" w:color="auto" w:fill="FFFFFF"/>
    </w:rPr>
  </w:style>
  <w:style w:type="character" w:customStyle="1" w:styleId="Bodytext8115pt1">
    <w:name w:val="Body text (8) + 11.5 pt1"/>
    <w:basedOn w:val="Bodytext8"/>
    <w:uiPriority w:val="99"/>
    <w:rsid w:val="007C1182"/>
    <w:rPr>
      <w:rFonts w:ascii="Times New Roman" w:hAnsi="Times New Roman" w:cs="Times New Roman"/>
      <w:sz w:val="23"/>
      <w:szCs w:val="23"/>
      <w:shd w:val="clear" w:color="auto" w:fill="FFFFFF"/>
    </w:rPr>
  </w:style>
  <w:style w:type="paragraph" w:customStyle="1" w:styleId="Bodytext80">
    <w:name w:val="Body text (8)"/>
    <w:basedOn w:val="Normal"/>
    <w:link w:val="Bodytext8"/>
    <w:uiPriority w:val="99"/>
    <w:rsid w:val="007C1182"/>
    <w:pPr>
      <w:widowControl w:val="0"/>
      <w:shd w:val="clear" w:color="auto" w:fill="FFFFFF"/>
      <w:spacing w:after="780" w:line="240" w:lineRule="atLeast"/>
      <w:ind w:hanging="360"/>
      <w:jc w:val="both"/>
    </w:pPr>
    <w:rPr>
      <w:rFonts w:ascii="Times New Roman" w:hAnsi="Times New Roman" w:cs="Times New Roman"/>
      <w:sz w:val="21"/>
      <w:szCs w:val="21"/>
      <w:lang w:eastAsia="en-US"/>
    </w:rPr>
  </w:style>
  <w:style w:type="character" w:customStyle="1" w:styleId="Bodytext25">
    <w:name w:val="Body text (25)_"/>
    <w:basedOn w:val="DefaultParagraphFont"/>
    <w:link w:val="Bodytext251"/>
    <w:uiPriority w:val="99"/>
    <w:rsid w:val="007C1182"/>
    <w:rPr>
      <w:rFonts w:ascii="Times New Roman" w:hAnsi="Times New Roman" w:cs="Times New Roman"/>
      <w:sz w:val="23"/>
      <w:szCs w:val="23"/>
      <w:shd w:val="clear" w:color="auto" w:fill="FFFFFF"/>
    </w:rPr>
  </w:style>
  <w:style w:type="paragraph" w:customStyle="1" w:styleId="Bodytext251">
    <w:name w:val="Body text (25)1"/>
    <w:basedOn w:val="Normal"/>
    <w:link w:val="Bodytext25"/>
    <w:uiPriority w:val="99"/>
    <w:rsid w:val="007C1182"/>
    <w:pPr>
      <w:widowControl w:val="0"/>
      <w:shd w:val="clear" w:color="auto" w:fill="FFFFFF"/>
      <w:spacing w:before="60" w:after="0" w:line="240" w:lineRule="atLeast"/>
      <w:ind w:hanging="360"/>
    </w:pPr>
    <w:rPr>
      <w:rFonts w:ascii="Times New Roman" w:hAnsi="Times New Roman" w:cs="Times New Roman"/>
      <w:sz w:val="23"/>
      <w:szCs w:val="23"/>
      <w:lang w:eastAsia="en-US"/>
    </w:rPr>
  </w:style>
  <w:style w:type="paragraph" w:styleId="NormalWeb">
    <w:name w:val="Normal (Web)"/>
    <w:basedOn w:val="Normal"/>
    <w:uiPriority w:val="99"/>
    <w:unhideWhenUsed/>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Strong">
    <w:name w:val="Strong"/>
    <w:basedOn w:val="DefaultParagraphFont"/>
    <w:uiPriority w:val="22"/>
    <w:qFormat/>
    <w:rsid w:val="007C1182"/>
    <w:rPr>
      <w:b/>
      <w:bCs/>
    </w:rPr>
  </w:style>
  <w:style w:type="table" w:customStyle="1" w:styleId="TableGrid1">
    <w:name w:val="Table Grid1"/>
    <w:basedOn w:val="TableNormal"/>
    <w:next w:val="TableGrid"/>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7C1182"/>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C118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p">
    <w:name w:val="d-p"/>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eurlex">
    <w:name w:val="d-eurlex"/>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d-eurlex1">
    <w:name w:val="d-eurlex1"/>
    <w:basedOn w:val="DefaultParagraphFont"/>
    <w:rsid w:val="007C1182"/>
  </w:style>
  <w:style w:type="character" w:customStyle="1" w:styleId="5">
    <w:name w:val="Основной текст (5)_"/>
    <w:basedOn w:val="DefaultParagraphFont"/>
    <w:link w:val="51"/>
    <w:uiPriority w:val="99"/>
    <w:locked/>
    <w:rsid w:val="007C1182"/>
    <w:rPr>
      <w:rFonts w:ascii="Arial" w:hAnsi="Arial" w:cs="Arial"/>
      <w:b/>
      <w:bCs/>
      <w:sz w:val="17"/>
      <w:szCs w:val="17"/>
      <w:shd w:val="clear" w:color="auto" w:fill="FFFFFF"/>
    </w:rPr>
  </w:style>
  <w:style w:type="paragraph" w:customStyle="1" w:styleId="51">
    <w:name w:val="Основной текст (5)1"/>
    <w:basedOn w:val="Normal"/>
    <w:link w:val="5"/>
    <w:uiPriority w:val="99"/>
    <w:rsid w:val="007C1182"/>
    <w:pPr>
      <w:widowControl w:val="0"/>
      <w:shd w:val="clear" w:color="auto" w:fill="FFFFFF"/>
      <w:spacing w:before="60" w:after="180" w:line="240" w:lineRule="atLeast"/>
      <w:jc w:val="both"/>
    </w:pPr>
    <w:rPr>
      <w:rFonts w:ascii="Arial" w:hAnsi="Arial" w:cs="Arial"/>
      <w:b/>
      <w:bCs/>
      <w:sz w:val="17"/>
      <w:szCs w:val="17"/>
      <w:lang w:eastAsia="en-US"/>
    </w:rPr>
  </w:style>
  <w:style w:type="character" w:customStyle="1" w:styleId="a0">
    <w:name w:val="Основной текст"/>
    <w:basedOn w:val="a"/>
    <w:uiPriority w:val="99"/>
    <w:rsid w:val="007C1182"/>
    <w:rPr>
      <w:rFonts w:ascii="Arial" w:hAnsi="Arial" w:cs="Arial"/>
      <w:sz w:val="17"/>
      <w:szCs w:val="17"/>
      <w:shd w:val="clear" w:color="auto" w:fill="FFFFFF"/>
    </w:rPr>
  </w:style>
  <w:style w:type="character" w:customStyle="1" w:styleId="50">
    <w:name w:val="Основной текст (5)"/>
    <w:basedOn w:val="5"/>
    <w:uiPriority w:val="99"/>
    <w:rsid w:val="007C1182"/>
    <w:rPr>
      <w:rFonts w:ascii="Arial" w:hAnsi="Arial" w:cs="Arial"/>
      <w:b/>
      <w:bCs/>
      <w:sz w:val="17"/>
      <w:szCs w:val="17"/>
      <w:shd w:val="clear" w:color="auto" w:fill="FFFFFF"/>
    </w:rPr>
  </w:style>
  <w:style w:type="paragraph" w:customStyle="1" w:styleId="Standard">
    <w:name w:val="Standard"/>
    <w:rsid w:val="007C1182"/>
    <w:pPr>
      <w:suppressAutoHyphens/>
      <w:autoSpaceDN w:val="0"/>
      <w:spacing w:after="0" w:line="240" w:lineRule="auto"/>
    </w:pPr>
    <w:rPr>
      <w:rFonts w:ascii="Times New Roman" w:eastAsia="Times New Roman" w:hAnsi="Times New Roman" w:cs="Times New Roman"/>
      <w:kern w:val="3"/>
      <w:sz w:val="24"/>
      <w:szCs w:val="24"/>
      <w:lang w:val="en-US"/>
    </w:rPr>
  </w:style>
  <w:style w:type="character" w:customStyle="1" w:styleId="UnresolvedMention1">
    <w:name w:val="Unresolved Mention1"/>
    <w:basedOn w:val="DefaultParagraphFont"/>
    <w:uiPriority w:val="99"/>
    <w:semiHidden/>
    <w:unhideWhenUsed/>
    <w:rsid w:val="007C1182"/>
    <w:rPr>
      <w:color w:val="605E5C"/>
      <w:shd w:val="clear" w:color="auto" w:fill="E1DFDD"/>
    </w:rPr>
  </w:style>
  <w:style w:type="paragraph" w:customStyle="1" w:styleId="document-date">
    <w:name w:val="document-date"/>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newdocreference">
    <w:name w:val="newdocreference"/>
    <w:basedOn w:val="DefaultParagraphFont"/>
    <w:rsid w:val="007C1182"/>
  </w:style>
  <w:style w:type="paragraph" w:customStyle="1" w:styleId="buttons">
    <w:name w:val="buttons"/>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DefaultParagraphFont"/>
    <w:rsid w:val="007C1182"/>
  </w:style>
  <w:style w:type="paragraph" w:customStyle="1" w:styleId="Title1">
    <w:name w:val="Title1"/>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UnresolvedMention2">
    <w:name w:val="Unresolved Mention2"/>
    <w:basedOn w:val="DefaultParagraphFont"/>
    <w:uiPriority w:val="99"/>
    <w:semiHidden/>
    <w:unhideWhenUsed/>
    <w:rsid w:val="007C1182"/>
    <w:rPr>
      <w:color w:val="605E5C"/>
      <w:shd w:val="clear" w:color="auto" w:fill="E1DFDD"/>
    </w:rPr>
  </w:style>
  <w:style w:type="table" w:customStyle="1" w:styleId="451">
    <w:name w:val="Таблица с мрежа 4 – акцентиране 51"/>
    <w:basedOn w:val="TableNormal"/>
    <w:next w:val="GridTable4-Accent5"/>
    <w:uiPriority w:val="49"/>
    <w:rsid w:val="007C1182"/>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7C118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Heading51">
    <w:name w:val="Heading 51"/>
    <w:basedOn w:val="Normal"/>
    <w:next w:val="Normal"/>
    <w:uiPriority w:val="9"/>
    <w:semiHidden/>
    <w:unhideWhenUsed/>
    <w:qFormat/>
    <w:rsid w:val="007C1182"/>
    <w:pPr>
      <w:keepNext/>
      <w:keepLines/>
      <w:spacing w:before="40" w:after="0"/>
      <w:ind w:left="3600" w:hanging="360"/>
      <w:outlineLvl w:val="4"/>
    </w:pPr>
    <w:rPr>
      <w:rFonts w:ascii="Calibri Light" w:eastAsia="Times New Roman" w:hAnsi="Calibri Light" w:cs="Times New Roman"/>
      <w:color w:val="2E74B5"/>
      <w:lang w:eastAsia="en-US"/>
    </w:rPr>
  </w:style>
  <w:style w:type="paragraph" w:customStyle="1" w:styleId="Heading61">
    <w:name w:val="Heading 61"/>
    <w:basedOn w:val="Normal"/>
    <w:next w:val="Normal"/>
    <w:uiPriority w:val="9"/>
    <w:semiHidden/>
    <w:unhideWhenUsed/>
    <w:qFormat/>
    <w:rsid w:val="007C1182"/>
    <w:pPr>
      <w:keepNext/>
      <w:keepLines/>
      <w:spacing w:before="40" w:after="0"/>
      <w:ind w:left="4320" w:hanging="360"/>
      <w:outlineLvl w:val="5"/>
    </w:pPr>
    <w:rPr>
      <w:rFonts w:ascii="Calibri Light" w:eastAsia="Times New Roman" w:hAnsi="Calibri Light" w:cs="Times New Roman"/>
      <w:color w:val="1F4D78"/>
      <w:lang w:eastAsia="en-US"/>
    </w:rPr>
  </w:style>
  <w:style w:type="paragraph" w:customStyle="1" w:styleId="Heading71">
    <w:name w:val="Heading 71"/>
    <w:basedOn w:val="Normal"/>
    <w:next w:val="Normal"/>
    <w:uiPriority w:val="9"/>
    <w:semiHidden/>
    <w:unhideWhenUsed/>
    <w:qFormat/>
    <w:rsid w:val="007C1182"/>
    <w:pPr>
      <w:keepNext/>
      <w:keepLines/>
      <w:spacing w:before="40" w:after="0"/>
      <w:ind w:left="5040" w:hanging="360"/>
      <w:outlineLvl w:val="6"/>
    </w:pPr>
    <w:rPr>
      <w:rFonts w:ascii="Calibri Light" w:eastAsia="Times New Roman" w:hAnsi="Calibri Light" w:cs="Times New Roman"/>
      <w:i/>
      <w:iCs/>
      <w:color w:val="1F4D78"/>
      <w:lang w:eastAsia="en-US"/>
    </w:rPr>
  </w:style>
  <w:style w:type="paragraph" w:customStyle="1" w:styleId="Heading81">
    <w:name w:val="Heading 81"/>
    <w:basedOn w:val="Normal"/>
    <w:next w:val="Normal"/>
    <w:uiPriority w:val="9"/>
    <w:semiHidden/>
    <w:unhideWhenUsed/>
    <w:qFormat/>
    <w:rsid w:val="007C1182"/>
    <w:pPr>
      <w:keepNext/>
      <w:keepLines/>
      <w:spacing w:before="40" w:after="0"/>
      <w:ind w:left="5760" w:hanging="360"/>
      <w:outlineLvl w:val="7"/>
    </w:pPr>
    <w:rPr>
      <w:rFonts w:ascii="Calibri Light" w:eastAsia="Times New Roman" w:hAnsi="Calibri Light" w:cs="Times New Roman"/>
      <w:color w:val="272727"/>
      <w:sz w:val="21"/>
      <w:szCs w:val="21"/>
      <w:lang w:eastAsia="en-US"/>
    </w:rPr>
  </w:style>
  <w:style w:type="paragraph" w:customStyle="1" w:styleId="Heading91">
    <w:name w:val="Heading 91"/>
    <w:basedOn w:val="Normal"/>
    <w:next w:val="Normal"/>
    <w:uiPriority w:val="9"/>
    <w:semiHidden/>
    <w:unhideWhenUsed/>
    <w:qFormat/>
    <w:rsid w:val="007C1182"/>
    <w:pPr>
      <w:keepNext/>
      <w:keepLines/>
      <w:spacing w:before="40" w:after="0"/>
      <w:ind w:left="6480" w:hanging="360"/>
      <w:outlineLvl w:val="8"/>
    </w:pPr>
    <w:rPr>
      <w:rFonts w:ascii="Calibri Light" w:eastAsia="Times New Roman" w:hAnsi="Calibri Light" w:cs="Times New Roman"/>
      <w:i/>
      <w:iCs/>
      <w:color w:val="272727"/>
      <w:sz w:val="21"/>
      <w:szCs w:val="21"/>
      <w:lang w:eastAsia="en-US"/>
    </w:rPr>
  </w:style>
  <w:style w:type="numbering" w:customStyle="1" w:styleId="NoList1">
    <w:name w:val="No List1"/>
    <w:next w:val="NoList"/>
    <w:uiPriority w:val="99"/>
    <w:semiHidden/>
    <w:unhideWhenUsed/>
    <w:rsid w:val="007C1182"/>
  </w:style>
  <w:style w:type="table" w:customStyle="1" w:styleId="TableNormal10">
    <w:name w:val="Table Normal1"/>
    <w:rsid w:val="007C1182"/>
    <w:tblPr>
      <w:tblCellMar>
        <w:top w:w="0" w:type="dxa"/>
        <w:left w:w="0" w:type="dxa"/>
        <w:bottom w:w="0" w:type="dxa"/>
        <w:right w:w="0" w:type="dxa"/>
      </w:tblCellMar>
    </w:tblPr>
  </w:style>
  <w:style w:type="character" w:customStyle="1" w:styleId="TitleChar">
    <w:name w:val="Title Char"/>
    <w:basedOn w:val="DefaultParagraphFont"/>
    <w:link w:val="Title"/>
    <w:uiPriority w:val="10"/>
    <w:rsid w:val="007C1182"/>
    <w:rPr>
      <w:rFonts w:ascii="Calibri" w:eastAsia="Calibri" w:hAnsi="Calibri" w:cs="Calibri"/>
      <w:b/>
      <w:sz w:val="72"/>
      <w:szCs w:val="72"/>
    </w:rPr>
  </w:style>
  <w:style w:type="character" w:styleId="BookTitle">
    <w:name w:val="Book Title"/>
    <w:basedOn w:val="DefaultParagraphFont"/>
    <w:uiPriority w:val="33"/>
    <w:qFormat/>
    <w:rsid w:val="007C1182"/>
    <w:rPr>
      <w:b/>
      <w:bCs/>
      <w:i/>
      <w:iCs/>
      <w:spacing w:val="5"/>
    </w:rPr>
  </w:style>
  <w:style w:type="table" w:customStyle="1" w:styleId="TableGrid2">
    <w:name w:val="Table Grid2"/>
    <w:basedOn w:val="TableNormal"/>
    <w:next w:val="TableGrid"/>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7C1182"/>
    <w:rPr>
      <w:rFonts w:ascii="Calibri" w:eastAsia="Calibri" w:hAnsi="Calibri" w:cs="Calibri"/>
      <w:sz w:val="23"/>
      <w:szCs w:val="23"/>
      <w:shd w:val="clear" w:color="auto" w:fill="FFFFFF"/>
    </w:rPr>
  </w:style>
  <w:style w:type="character" w:customStyle="1" w:styleId="Bodytext210pt">
    <w:name w:val="Body text (2) + 10 pt"/>
    <w:basedOn w:val="Bodytext2"/>
    <w:rsid w:val="007C1182"/>
    <w:rPr>
      <w:rFonts w:ascii="Calibri" w:eastAsia="Calibri" w:hAnsi="Calibri" w:cs="Calibri"/>
      <w:color w:val="000000"/>
      <w:spacing w:val="0"/>
      <w:w w:val="100"/>
      <w:position w:val="0"/>
      <w:sz w:val="20"/>
      <w:szCs w:val="20"/>
      <w:shd w:val="clear" w:color="auto" w:fill="FFFFFF"/>
      <w:lang w:val="bg-BG" w:eastAsia="bg-BG" w:bidi="bg-BG"/>
    </w:rPr>
  </w:style>
  <w:style w:type="paragraph" w:customStyle="1" w:styleId="Bodytext20">
    <w:name w:val="Body text (2)"/>
    <w:basedOn w:val="Normal"/>
    <w:link w:val="Bodytext2"/>
    <w:rsid w:val="007C1182"/>
    <w:pPr>
      <w:widowControl w:val="0"/>
      <w:shd w:val="clear" w:color="auto" w:fill="FFFFFF"/>
      <w:spacing w:before="300" w:after="0" w:line="456" w:lineRule="exact"/>
      <w:ind w:hanging="760"/>
    </w:pPr>
    <w:rPr>
      <w:sz w:val="23"/>
      <w:szCs w:val="23"/>
      <w:lang w:eastAsia="en-US"/>
    </w:rPr>
  </w:style>
  <w:style w:type="character" w:customStyle="1" w:styleId="Tablecaption">
    <w:name w:val="Table caption_"/>
    <w:basedOn w:val="DefaultParagraphFont"/>
    <w:link w:val="Tablecaption0"/>
    <w:rsid w:val="007C1182"/>
    <w:rPr>
      <w:rFonts w:ascii="Calibri" w:eastAsia="Calibri" w:hAnsi="Calibri" w:cs="Calibri"/>
      <w:b/>
      <w:bCs/>
      <w:shd w:val="clear" w:color="auto" w:fill="FFFFFF"/>
    </w:rPr>
  </w:style>
  <w:style w:type="paragraph" w:customStyle="1" w:styleId="Tablecaption0">
    <w:name w:val="Table caption"/>
    <w:basedOn w:val="Normal"/>
    <w:link w:val="Tablecaption"/>
    <w:rsid w:val="007C1182"/>
    <w:pPr>
      <w:widowControl w:val="0"/>
      <w:shd w:val="clear" w:color="auto" w:fill="FFFFFF"/>
      <w:spacing w:after="0" w:line="0" w:lineRule="atLeast"/>
    </w:pPr>
    <w:rPr>
      <w:b/>
      <w:bCs/>
      <w:lang w:eastAsia="en-US"/>
    </w:rPr>
  </w:style>
  <w:style w:type="character" w:styleId="Emphasis">
    <w:name w:val="Emphasis"/>
    <w:basedOn w:val="DefaultParagraphFont"/>
    <w:uiPriority w:val="20"/>
    <w:qFormat/>
    <w:rsid w:val="007C1182"/>
    <w:rPr>
      <w:i/>
      <w:iCs/>
    </w:rPr>
  </w:style>
  <w:style w:type="character" w:customStyle="1" w:styleId="Footnote3">
    <w:name w:val="Footnote (3)_"/>
    <w:basedOn w:val="DefaultParagraphFont"/>
    <w:link w:val="Footnote30"/>
    <w:rsid w:val="007C1182"/>
    <w:rPr>
      <w:rFonts w:ascii="Calibri" w:eastAsia="Calibri" w:hAnsi="Calibri" w:cs="Calibri"/>
      <w:i/>
      <w:iCs/>
      <w:sz w:val="20"/>
      <w:szCs w:val="20"/>
      <w:shd w:val="clear" w:color="auto" w:fill="FFFFFF"/>
    </w:rPr>
  </w:style>
  <w:style w:type="paragraph" w:customStyle="1" w:styleId="Footnote30">
    <w:name w:val="Footnote (3)"/>
    <w:basedOn w:val="Normal"/>
    <w:link w:val="Footnote3"/>
    <w:rsid w:val="007C1182"/>
    <w:pPr>
      <w:widowControl w:val="0"/>
      <w:shd w:val="clear" w:color="auto" w:fill="FFFFFF"/>
      <w:spacing w:after="0" w:line="278" w:lineRule="exact"/>
      <w:jc w:val="both"/>
    </w:pPr>
    <w:rPr>
      <w:i/>
      <w:iCs/>
      <w:sz w:val="20"/>
      <w:szCs w:val="20"/>
      <w:lang w:eastAsia="en-US"/>
    </w:rPr>
  </w:style>
  <w:style w:type="character" w:customStyle="1" w:styleId="Footnote312pt">
    <w:name w:val="Footnote (3) + 12 pt"/>
    <w:basedOn w:val="Footnote3"/>
    <w:rsid w:val="007C1182"/>
    <w:rPr>
      <w:rFonts w:ascii="Calibri" w:eastAsia="Calibri" w:hAnsi="Calibri" w:cs="Calibri"/>
      <w:b/>
      <w:bCs/>
      <w:i/>
      <w:iCs/>
      <w:smallCaps w:val="0"/>
      <w:strike w:val="0"/>
      <w:color w:val="000000"/>
      <w:spacing w:val="0"/>
      <w:w w:val="100"/>
      <w:position w:val="0"/>
      <w:sz w:val="24"/>
      <w:szCs w:val="24"/>
      <w:u w:val="none"/>
      <w:shd w:val="clear" w:color="auto" w:fill="FFFFFF"/>
      <w:lang w:val="bg-BG" w:eastAsia="bg-BG" w:bidi="bg-BG"/>
    </w:rPr>
  </w:style>
  <w:style w:type="character" w:customStyle="1" w:styleId="Footnote4">
    <w:name w:val="Footnote (4)_"/>
    <w:basedOn w:val="DefaultParagraphFont"/>
    <w:link w:val="Footnote40"/>
    <w:rsid w:val="007C1182"/>
    <w:rPr>
      <w:rFonts w:ascii="Calibri" w:eastAsia="Calibri" w:hAnsi="Calibri" w:cs="Calibri"/>
      <w:sz w:val="17"/>
      <w:szCs w:val="17"/>
      <w:shd w:val="clear" w:color="auto" w:fill="FFFFFF"/>
    </w:rPr>
  </w:style>
  <w:style w:type="paragraph" w:customStyle="1" w:styleId="Footnote40">
    <w:name w:val="Footnote (4)"/>
    <w:basedOn w:val="Normal"/>
    <w:link w:val="Footnote4"/>
    <w:rsid w:val="007C1182"/>
    <w:pPr>
      <w:widowControl w:val="0"/>
      <w:shd w:val="clear" w:color="auto" w:fill="FFFFFF"/>
      <w:spacing w:after="180" w:line="0" w:lineRule="atLeast"/>
    </w:pPr>
    <w:rPr>
      <w:sz w:val="17"/>
      <w:szCs w:val="17"/>
      <w:lang w:eastAsia="en-US"/>
    </w:rPr>
  </w:style>
  <w:style w:type="character" w:customStyle="1" w:styleId="Headerorfooter">
    <w:name w:val="Header or footer_"/>
    <w:basedOn w:val="DefaultParagraphFont"/>
    <w:rsid w:val="007C1182"/>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7C1182"/>
    <w:rPr>
      <w:rFonts w:ascii="Times New Roman" w:eastAsia="Times New Roman" w:hAnsi="Times New Roman" w:cs="Times New Roman"/>
      <w:b w:val="0"/>
      <w:bCs w:val="0"/>
      <w:i w:val="0"/>
      <w:iCs w:val="0"/>
      <w:smallCaps w:val="0"/>
      <w:strike w:val="0"/>
      <w:sz w:val="22"/>
      <w:szCs w:val="22"/>
      <w:u w:val="none"/>
    </w:rPr>
  </w:style>
  <w:style w:type="paragraph" w:customStyle="1" w:styleId="Default">
    <w:name w:val="Default"/>
    <w:uiPriority w:val="99"/>
    <w:rsid w:val="007C1182"/>
    <w:pPr>
      <w:autoSpaceDE w:val="0"/>
      <w:autoSpaceDN w:val="0"/>
      <w:adjustRightInd w:val="0"/>
      <w:spacing w:after="0" w:line="240" w:lineRule="auto"/>
    </w:pPr>
    <w:rPr>
      <w:rFonts w:ascii="Times New Roman" w:hAnsi="Times New Roman" w:cs="Times New Roman"/>
      <w:color w:val="000000"/>
      <w:sz w:val="24"/>
      <w:szCs w:val="24"/>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7C1182"/>
    <w:rPr>
      <w:rFonts w:ascii="Georgia" w:eastAsia="Georgia" w:hAnsi="Georgia" w:cs="Georgia"/>
      <w:i/>
      <w:color w:val="666666"/>
      <w:sz w:val="48"/>
      <w:szCs w:val="48"/>
    </w:rPr>
  </w:style>
  <w:style w:type="table" w:customStyle="1" w:styleId="ListTable3-Accent51">
    <w:name w:val="List Table 3 - Accent 51"/>
    <w:basedOn w:val="TableNormal"/>
    <w:next w:val="ListTable3-Accent5"/>
    <w:uiPriority w:val="48"/>
    <w:rsid w:val="007C1182"/>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Heading5Char1">
    <w:name w:val="Heading 5 Char1"/>
    <w:basedOn w:val="DefaultParagraphFont"/>
    <w:uiPriority w:val="9"/>
    <w:semiHidden/>
    <w:rsid w:val="007C1182"/>
    <w:rPr>
      <w:rFonts w:asciiTheme="majorHAnsi" w:eastAsiaTheme="majorEastAsia" w:hAnsiTheme="majorHAnsi" w:cstheme="majorBidi"/>
      <w:color w:val="2F5496" w:themeColor="accent1" w:themeShade="BF"/>
      <w:lang w:val="en-US"/>
    </w:rPr>
  </w:style>
  <w:style w:type="character" w:customStyle="1" w:styleId="Heading6Char1">
    <w:name w:val="Heading 6 Char1"/>
    <w:basedOn w:val="DefaultParagraphFont"/>
    <w:uiPriority w:val="9"/>
    <w:semiHidden/>
    <w:rsid w:val="007C1182"/>
    <w:rPr>
      <w:rFonts w:asciiTheme="majorHAnsi" w:eastAsiaTheme="majorEastAsia" w:hAnsiTheme="majorHAnsi" w:cstheme="majorBidi"/>
      <w:color w:val="1F3763" w:themeColor="accent1" w:themeShade="7F"/>
      <w:lang w:val="en-US"/>
    </w:rPr>
  </w:style>
  <w:style w:type="character" w:customStyle="1" w:styleId="Heading7Char1">
    <w:name w:val="Heading 7 Char1"/>
    <w:basedOn w:val="DefaultParagraphFont"/>
    <w:uiPriority w:val="9"/>
    <w:semiHidden/>
    <w:rsid w:val="007C1182"/>
    <w:rPr>
      <w:rFonts w:asciiTheme="majorHAnsi" w:eastAsiaTheme="majorEastAsia" w:hAnsiTheme="majorHAnsi" w:cstheme="majorBidi"/>
      <w:i/>
      <w:iCs/>
      <w:color w:val="1F3763" w:themeColor="accent1" w:themeShade="7F"/>
      <w:lang w:val="en-US"/>
    </w:rPr>
  </w:style>
  <w:style w:type="character" w:customStyle="1" w:styleId="Heading8Char1">
    <w:name w:val="Heading 8 Char1"/>
    <w:basedOn w:val="DefaultParagraphFont"/>
    <w:uiPriority w:val="9"/>
    <w:semiHidden/>
    <w:rsid w:val="007C1182"/>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DefaultParagraphFont"/>
    <w:uiPriority w:val="9"/>
    <w:semiHidden/>
    <w:rsid w:val="007C1182"/>
    <w:rPr>
      <w:rFonts w:asciiTheme="majorHAnsi" w:eastAsiaTheme="majorEastAsia" w:hAnsiTheme="majorHAnsi" w:cstheme="majorBidi"/>
      <w:i/>
      <w:iCs/>
      <w:color w:val="272727" w:themeColor="text1" w:themeTint="D8"/>
      <w:sz w:val="21"/>
      <w:szCs w:val="21"/>
      <w:lang w:val="en-US"/>
    </w:rPr>
  </w:style>
  <w:style w:type="table" w:styleId="ListTable3-Accent5">
    <w:name w:val="List Table 3 Accent 5"/>
    <w:basedOn w:val="TableNormal"/>
    <w:uiPriority w:val="48"/>
    <w:rsid w:val="007C1182"/>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UnresolvedMention3">
    <w:name w:val="Unresolved Mention3"/>
    <w:basedOn w:val="DefaultParagraphFont"/>
    <w:uiPriority w:val="99"/>
    <w:semiHidden/>
    <w:unhideWhenUsed/>
    <w:rsid w:val="007C1182"/>
    <w:rPr>
      <w:color w:val="605E5C"/>
      <w:shd w:val="clear" w:color="auto" w:fill="E1DFDD"/>
    </w:rPr>
  </w:style>
  <w:style w:type="paragraph" w:styleId="FootnoteText">
    <w:name w:val="footnote text"/>
    <w:basedOn w:val="Normal"/>
    <w:link w:val="FootnoteTextChar"/>
    <w:uiPriority w:val="99"/>
    <w:semiHidden/>
    <w:unhideWhenUsed/>
    <w:rsid w:val="002A06AD"/>
    <w:pPr>
      <w:spacing w:after="0" w:line="240" w:lineRule="auto"/>
    </w:pPr>
    <w:rPr>
      <w:sz w:val="20"/>
      <w:szCs w:val="20"/>
      <w:lang w:val="en-GB" w:eastAsia="en-US"/>
    </w:rPr>
  </w:style>
  <w:style w:type="character" w:customStyle="1" w:styleId="FootnoteTextChar">
    <w:name w:val="Footnote Text Char"/>
    <w:basedOn w:val="DefaultParagraphFont"/>
    <w:link w:val="FootnoteText"/>
    <w:uiPriority w:val="99"/>
    <w:semiHidden/>
    <w:rsid w:val="002A06AD"/>
    <w:rPr>
      <w:sz w:val="20"/>
      <w:szCs w:val="20"/>
      <w:lang w:val="en-GB"/>
    </w:r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pPr>
      <w:spacing w:after="0" w:line="240" w:lineRule="auto"/>
    </w:pPr>
    <w:tblPr>
      <w:tblStyleRowBandSize w:val="1"/>
      <w:tblStyleColBandSize w:val="1"/>
      <w:tblCellMar>
        <w:left w:w="70" w:type="dxa"/>
        <w:right w:w="70" w:type="dxa"/>
      </w:tblCellMar>
    </w:tblPr>
  </w:style>
  <w:style w:type="table" w:customStyle="1" w:styleId="a4">
    <w:basedOn w:val="TableNormal"/>
    <w:pPr>
      <w:spacing w:after="0" w:line="240" w:lineRule="auto"/>
    </w:pPr>
    <w:tblPr>
      <w:tblStyleRowBandSize w:val="1"/>
      <w:tblStyleColBandSize w:val="1"/>
      <w:tblCellMar>
        <w:left w:w="70" w:type="dxa"/>
        <w:right w:w="70" w:type="dxa"/>
      </w:tblCellMar>
    </w:tblPr>
  </w:style>
  <w:style w:type="character" w:customStyle="1" w:styleId="10">
    <w:name w:val="Неразрешено споменаване1"/>
    <w:basedOn w:val="DefaultParagraphFont"/>
    <w:uiPriority w:val="99"/>
    <w:semiHidden/>
    <w:unhideWhenUsed/>
    <w:rsid w:val="002449A2"/>
    <w:rPr>
      <w:color w:val="605E5C"/>
      <w:shd w:val="clear" w:color="auto" w:fill="E1DFDD"/>
    </w:rPr>
  </w:style>
  <w:style w:type="table" w:customStyle="1" w:styleId="a5">
    <w:basedOn w:val="TableNormal"/>
    <w:pPr>
      <w:spacing w:after="0" w:line="240" w:lineRule="auto"/>
    </w:pPr>
    <w:tblPr>
      <w:tblStyleRowBandSize w:val="1"/>
      <w:tblStyleColBandSize w:val="1"/>
      <w:tblCellMar>
        <w:left w:w="70" w:type="dxa"/>
        <w:right w:w="70" w:type="dxa"/>
      </w:tblCellMar>
    </w:tblPr>
  </w:style>
  <w:style w:type="character" w:customStyle="1" w:styleId="UnresolvedMention">
    <w:name w:val="Unresolved Mention"/>
    <w:basedOn w:val="DefaultParagraphFont"/>
    <w:uiPriority w:val="99"/>
    <w:semiHidden/>
    <w:unhideWhenUsed/>
    <w:rsid w:val="00D87E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sofia.bg/en/separate-collection/-/asset_publisher/oVpyOnvfpPLX/content/plosadki-na-teritoriata-na-obsinata-za-bezv-zmezdno-predavane-na-razdelno-s-brani-otpad-ci-ot-domakinstvata?inheritRedirect=fals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aste.sofia.bg/" TargetMode="External"/><Relationship Id="rId4" Type="http://schemas.openxmlformats.org/officeDocument/2006/relationships/settings" Target="settings.xml"/><Relationship Id="rId9" Type="http://schemas.openxmlformats.org/officeDocument/2006/relationships/hyperlink" Target="https://nwms.eea.government.bg/app/registers/waste-activiti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sivzzeJKKjEhG7wciiM6juzJ/w==">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6347</Words>
  <Characters>36184</Characters>
  <Application>Microsoft Office Word</Application>
  <DocSecurity>0</DocSecurity>
  <Lines>301</Lines>
  <Paragraphs>84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SM</cp:lastModifiedBy>
  <cp:revision>3</cp:revision>
  <dcterms:created xsi:type="dcterms:W3CDTF">2022-06-29T11:24:00Z</dcterms:created>
  <dcterms:modified xsi:type="dcterms:W3CDTF">2023-06-16T07:07:00Z</dcterms:modified>
</cp:coreProperties>
</file>